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1BE3D" w14:textId="77777777" w:rsidR="00AA4536" w:rsidRPr="00AB7354" w:rsidRDefault="00AA4536" w:rsidP="001B0C56">
      <w:pPr>
        <w:spacing w:after="0" w:line="240" w:lineRule="auto"/>
        <w:jc w:val="center"/>
        <w:rPr>
          <w:rFonts w:ascii="Century" w:eastAsia="Times New Roman" w:hAnsi="Century" w:cs="Tahoma"/>
          <w:b/>
          <w:sz w:val="24"/>
          <w:szCs w:val="24"/>
          <w:u w:val="single"/>
          <w:lang w:val="es-ES" w:eastAsia="es-ES"/>
        </w:rPr>
      </w:pPr>
    </w:p>
    <w:p w14:paraId="23FC13D0" w14:textId="77777777" w:rsidR="00122E83" w:rsidRPr="00AB7354" w:rsidRDefault="00AA4536" w:rsidP="001B0C56">
      <w:pPr>
        <w:spacing w:after="0" w:line="240" w:lineRule="auto"/>
        <w:jc w:val="center"/>
        <w:rPr>
          <w:rFonts w:ascii="Century" w:eastAsia="Times New Roman" w:hAnsi="Century" w:cs="Tahoma"/>
          <w:b/>
          <w:sz w:val="24"/>
          <w:szCs w:val="24"/>
          <w:u w:val="single"/>
          <w:lang w:val="es-ES" w:eastAsia="es-ES"/>
        </w:rPr>
      </w:pPr>
      <w:r w:rsidRPr="00AB7354">
        <w:rPr>
          <w:rFonts w:ascii="Century" w:eastAsia="Times New Roman" w:hAnsi="Century" w:cs="Tahoma"/>
          <w:b/>
          <w:sz w:val="24"/>
          <w:szCs w:val="24"/>
          <w:u w:val="single"/>
          <w:lang w:val="es-ES" w:eastAsia="es-ES"/>
        </w:rPr>
        <w:t xml:space="preserve">Ficha técnica y/o pliego de condiciones </w:t>
      </w:r>
    </w:p>
    <w:p w14:paraId="1890CA63" w14:textId="77777777" w:rsidR="00CF6DD1" w:rsidRPr="00AB7354" w:rsidRDefault="00CF6DD1" w:rsidP="001B0C56">
      <w:pPr>
        <w:spacing w:after="0" w:line="240" w:lineRule="auto"/>
        <w:jc w:val="center"/>
        <w:rPr>
          <w:rFonts w:ascii="Century" w:eastAsia="Times New Roman" w:hAnsi="Century" w:cs="Tahoma"/>
          <w:b/>
          <w:sz w:val="24"/>
          <w:szCs w:val="24"/>
          <w:u w:val="single"/>
          <w:lang w:val="es-ES" w:eastAsia="es-ES"/>
        </w:rPr>
      </w:pPr>
    </w:p>
    <w:p w14:paraId="05B0F7CF" w14:textId="67C1E96D" w:rsidR="00D25D90" w:rsidRDefault="00AA4536" w:rsidP="00AA4536">
      <w:p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objetivo del presente documento es establecer el conjunto de cláusulas técnicas y administrativas, de naturaleza reglamentaria,</w:t>
      </w:r>
      <w:r w:rsidR="00A61462"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por el que se fijan los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requisitos, exigencias, y obligaciones de las personas naturales o</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 xml:space="preserve">jurídicas, nacionales, que deseen participar en el proceso de compras, bajo la modalidad de Compra Menor, para la “Adquisición De </w:t>
      </w:r>
      <w:r w:rsidR="008E3000">
        <w:rPr>
          <w:rFonts w:ascii="Century" w:eastAsia="Times New Roman" w:hAnsi="Century" w:cs="Tahoma"/>
          <w:bCs/>
          <w:sz w:val="24"/>
          <w:szCs w:val="24"/>
          <w:lang w:val="es-ES" w:eastAsia="es-ES"/>
        </w:rPr>
        <w:t>Medicamento</w:t>
      </w:r>
      <w:r w:rsidRPr="00AB7354">
        <w:rPr>
          <w:rFonts w:ascii="Century" w:eastAsia="Times New Roman" w:hAnsi="Century" w:cs="Tahoma"/>
          <w:bCs/>
          <w:sz w:val="24"/>
          <w:szCs w:val="24"/>
          <w:lang w:val="es-ES" w:eastAsia="es-ES"/>
        </w:rPr>
        <w:t>”, de acuerdo con las</w:t>
      </w:r>
      <w:r w:rsidR="005D7193"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condiciones fijadas en la siguiente ficha técnica.</w:t>
      </w:r>
    </w:p>
    <w:p w14:paraId="1524DA5C" w14:textId="41D9B425" w:rsidR="00BB0B43" w:rsidRDefault="00BB0B43" w:rsidP="00AA4536">
      <w:pPr>
        <w:spacing w:after="0" w:line="240" w:lineRule="auto"/>
        <w:jc w:val="both"/>
        <w:rPr>
          <w:rFonts w:ascii="Century" w:eastAsia="Times New Roman" w:hAnsi="Century" w:cs="Tahoma"/>
          <w:bCs/>
          <w:sz w:val="24"/>
          <w:szCs w:val="24"/>
          <w:lang w:val="es-ES" w:eastAsia="es-ES"/>
        </w:rPr>
      </w:pPr>
    </w:p>
    <w:p w14:paraId="429E1363" w14:textId="77777777" w:rsidR="00BB0B43" w:rsidRPr="00BB0B43" w:rsidRDefault="00BB0B43" w:rsidP="00BB0B43">
      <w:pPr>
        <w:spacing w:after="0" w:line="240" w:lineRule="auto"/>
        <w:jc w:val="both"/>
        <w:rPr>
          <w:rFonts w:ascii="Century" w:eastAsia="Times New Roman" w:hAnsi="Century" w:cs="Tahoma"/>
          <w:b/>
          <w:bCs/>
          <w:sz w:val="24"/>
          <w:szCs w:val="24"/>
          <w:lang w:eastAsia="es-ES"/>
        </w:rPr>
      </w:pPr>
      <w:r w:rsidRPr="00BB0B43">
        <w:rPr>
          <w:rFonts w:ascii="Century" w:eastAsia="Times New Roman" w:hAnsi="Century" w:cs="Tahoma"/>
          <w:b/>
          <w:bCs/>
          <w:sz w:val="24"/>
          <w:szCs w:val="24"/>
          <w:lang w:eastAsia="es-ES"/>
        </w:rPr>
        <w:t>Ficha Técnica</w:t>
      </w:r>
    </w:p>
    <w:p w14:paraId="455A8785"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p>
    <w:p w14:paraId="3D0DC8E4"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
          <w:bCs/>
          <w:sz w:val="24"/>
          <w:szCs w:val="24"/>
          <w:lang w:eastAsia="es-ES"/>
        </w:rPr>
        <w:t xml:space="preserve">Fentanilo 0,05mg/ml. (Fentanilo Citrato): 2mL. </w:t>
      </w:r>
    </w:p>
    <w:p w14:paraId="54E0A8EB"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
          <w:bCs/>
          <w:sz w:val="24"/>
          <w:szCs w:val="24"/>
          <w:lang w:eastAsia="es-ES"/>
        </w:rPr>
        <w:t xml:space="preserve">Descripción: </w:t>
      </w:r>
      <w:r w:rsidRPr="00BB0B43">
        <w:rPr>
          <w:rFonts w:ascii="Century" w:eastAsia="Times New Roman" w:hAnsi="Century" w:cs="Tahoma"/>
          <w:bCs/>
          <w:sz w:val="24"/>
          <w:szCs w:val="24"/>
          <w:lang w:eastAsia="es-ES"/>
        </w:rPr>
        <w:t xml:space="preserve">es un potente analgésico narcótico para inyección intravenosa o intramuscular. </w:t>
      </w:r>
    </w:p>
    <w:p w14:paraId="49BD3442" w14:textId="0AAD258D"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Cs/>
          <w:sz w:val="24"/>
          <w:szCs w:val="24"/>
          <w:lang w:eastAsia="es-ES"/>
        </w:rPr>
        <w:t xml:space="preserve">Las acciones principales de valor terapéutico son </w:t>
      </w:r>
      <w:r w:rsidRPr="00BB0B43">
        <w:rPr>
          <w:rFonts w:ascii="Century" w:eastAsia="Times New Roman" w:hAnsi="Century" w:cs="Tahoma"/>
          <w:bCs/>
          <w:sz w:val="24"/>
          <w:szCs w:val="24"/>
          <w:lang w:eastAsia="es-ES"/>
        </w:rPr>
        <w:t>analgésicas</w:t>
      </w:r>
      <w:r w:rsidRPr="00BB0B43">
        <w:rPr>
          <w:rFonts w:ascii="Century" w:eastAsia="Times New Roman" w:hAnsi="Century" w:cs="Tahoma"/>
          <w:bCs/>
          <w:sz w:val="24"/>
          <w:szCs w:val="24"/>
          <w:lang w:eastAsia="es-ES"/>
        </w:rPr>
        <w:t xml:space="preserve"> y sedación. </w:t>
      </w:r>
    </w:p>
    <w:p w14:paraId="7A8AAF99"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p>
    <w:p w14:paraId="357F88CD"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
          <w:bCs/>
          <w:sz w:val="24"/>
          <w:szCs w:val="24"/>
          <w:lang w:eastAsia="es-ES"/>
        </w:rPr>
        <w:t xml:space="preserve">Formula: </w:t>
      </w:r>
      <w:r w:rsidRPr="00BB0B43">
        <w:rPr>
          <w:rFonts w:ascii="Century" w:eastAsia="Times New Roman" w:hAnsi="Century" w:cs="Tahoma"/>
          <w:bCs/>
          <w:sz w:val="24"/>
          <w:szCs w:val="24"/>
          <w:lang w:eastAsia="es-ES"/>
        </w:rPr>
        <w:t xml:space="preserve">Fentanilo (como Citrato) 0,1 mg, Agua p/inyectables c.s.p. 2mL. </w:t>
      </w:r>
    </w:p>
    <w:p w14:paraId="78B00300"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
          <w:bCs/>
          <w:sz w:val="24"/>
          <w:szCs w:val="24"/>
          <w:lang w:eastAsia="es-ES"/>
        </w:rPr>
        <w:t xml:space="preserve">Formula Cuali-cuantitativa: Cada mililitro de Fentanilo Sin Conservadores contiene: </w:t>
      </w:r>
    </w:p>
    <w:p w14:paraId="137011BC" w14:textId="4DE78D4B"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Cs/>
          <w:sz w:val="24"/>
          <w:szCs w:val="24"/>
          <w:lang w:eastAsia="es-ES"/>
        </w:rPr>
        <w:t>Citrato de Fentanilo………………</w:t>
      </w:r>
      <w:r w:rsidRPr="00BB0B43">
        <w:rPr>
          <w:rFonts w:ascii="Century" w:eastAsia="Times New Roman" w:hAnsi="Century" w:cs="Tahoma"/>
          <w:bCs/>
          <w:sz w:val="24"/>
          <w:szCs w:val="24"/>
          <w:lang w:eastAsia="es-ES"/>
        </w:rPr>
        <w:t>……</w:t>
      </w:r>
      <w:r w:rsidRPr="00BB0B43">
        <w:rPr>
          <w:rFonts w:ascii="Century" w:eastAsia="Times New Roman" w:hAnsi="Century" w:cs="Tahoma"/>
          <w:bCs/>
          <w:sz w:val="24"/>
          <w:szCs w:val="24"/>
          <w:lang w:eastAsia="es-ES"/>
        </w:rPr>
        <w:t xml:space="preserve">…0,075 mg. </w:t>
      </w:r>
    </w:p>
    <w:p w14:paraId="4D652127"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Cs/>
          <w:sz w:val="24"/>
          <w:szCs w:val="24"/>
          <w:lang w:eastAsia="es-ES"/>
        </w:rPr>
        <w:t xml:space="preserve">Agua destilada para inyectables c.s.p……. 1ml. </w:t>
      </w:r>
    </w:p>
    <w:p w14:paraId="3BB5B66D"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Cs/>
          <w:sz w:val="24"/>
          <w:szCs w:val="24"/>
          <w:lang w:eastAsia="es-ES"/>
        </w:rPr>
        <w:t xml:space="preserve">Equivalente a 0,05mg/ml de Fentanilo Base. </w:t>
      </w:r>
    </w:p>
    <w:p w14:paraId="45244498"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Cs/>
          <w:sz w:val="24"/>
          <w:szCs w:val="24"/>
          <w:lang w:eastAsia="es-ES"/>
        </w:rPr>
        <w:tab/>
      </w:r>
    </w:p>
    <w:p w14:paraId="1B68629F"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
          <w:bCs/>
          <w:sz w:val="24"/>
          <w:szCs w:val="24"/>
          <w:lang w:eastAsia="es-ES"/>
        </w:rPr>
        <w:t xml:space="preserve">Caja Contiene 100 ampollas de 2mL. </w:t>
      </w:r>
    </w:p>
    <w:p w14:paraId="0E9C3AB7" w14:textId="77777777" w:rsidR="00BB0B43" w:rsidRPr="00BB0B43" w:rsidRDefault="00BB0B43" w:rsidP="00BB0B43">
      <w:pPr>
        <w:spacing w:after="0" w:line="240" w:lineRule="auto"/>
        <w:jc w:val="both"/>
        <w:rPr>
          <w:rFonts w:ascii="Century" w:eastAsia="Times New Roman" w:hAnsi="Century" w:cs="Tahoma"/>
          <w:bCs/>
          <w:sz w:val="24"/>
          <w:szCs w:val="24"/>
          <w:lang w:eastAsia="es-ES"/>
        </w:rPr>
      </w:pPr>
      <w:r w:rsidRPr="00BB0B43">
        <w:rPr>
          <w:rFonts w:ascii="Century" w:eastAsia="Times New Roman" w:hAnsi="Century" w:cs="Tahoma"/>
          <w:b/>
          <w:bCs/>
          <w:sz w:val="24"/>
          <w:szCs w:val="24"/>
          <w:lang w:eastAsia="es-ES"/>
        </w:rPr>
        <w:t>Conservar entre 15º y 30º C.</w:t>
      </w:r>
    </w:p>
    <w:p w14:paraId="1A8546DD" w14:textId="77777777" w:rsidR="00BB0B43" w:rsidRPr="00BB0B43" w:rsidRDefault="00BB0B43" w:rsidP="00BB0B43">
      <w:pPr>
        <w:spacing w:after="0" w:line="240" w:lineRule="auto"/>
        <w:jc w:val="both"/>
        <w:rPr>
          <w:rFonts w:ascii="Century" w:eastAsia="Times New Roman" w:hAnsi="Century" w:cs="Tahoma"/>
          <w:b/>
          <w:bCs/>
          <w:sz w:val="24"/>
          <w:szCs w:val="24"/>
          <w:u w:val="single"/>
          <w:lang w:eastAsia="es-ES"/>
        </w:rPr>
      </w:pPr>
    </w:p>
    <w:p w14:paraId="05FC5199" w14:textId="77777777" w:rsidR="00BB0B43" w:rsidRPr="00BB0B43" w:rsidRDefault="00BB0B43" w:rsidP="00BB0B43">
      <w:pPr>
        <w:spacing w:after="0" w:line="240" w:lineRule="auto"/>
        <w:jc w:val="both"/>
        <w:rPr>
          <w:rFonts w:ascii="Century" w:eastAsia="Times New Roman" w:hAnsi="Century" w:cs="Tahoma"/>
          <w:bCs/>
          <w:sz w:val="24"/>
          <w:szCs w:val="24"/>
          <w:lang w:val="es-ES" w:eastAsia="es-ES"/>
        </w:rPr>
      </w:pPr>
    </w:p>
    <w:p w14:paraId="5D41158E" w14:textId="4724504F" w:rsidR="00AA4536" w:rsidRPr="00AB7354" w:rsidRDefault="00A237EE" w:rsidP="00AA4536">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Pr="00AB7354">
        <w:rPr>
          <w:rFonts w:ascii="Century" w:eastAsia="Times New Roman" w:hAnsi="Century" w:cs="Tahoma"/>
          <w:b/>
          <w:sz w:val="24"/>
          <w:szCs w:val="24"/>
          <w:lang w:val="es-ES" w:eastAsia="es-ES"/>
        </w:rPr>
        <w:t xml:space="preserve"> </w:t>
      </w:r>
      <w:r w:rsidR="00AA4536" w:rsidRPr="00AB7354">
        <w:rPr>
          <w:rFonts w:ascii="Century" w:eastAsia="Times New Roman" w:hAnsi="Century" w:cs="Tahoma"/>
          <w:b/>
          <w:sz w:val="24"/>
          <w:szCs w:val="24"/>
          <w:lang w:val="es-ES" w:eastAsia="es-ES"/>
        </w:rPr>
        <w:t>Requisitos para participar en el concurso</w:t>
      </w:r>
    </w:p>
    <w:p w14:paraId="24E4CE6A" w14:textId="77777777" w:rsidR="00AA4536" w:rsidRPr="00AB7354" w:rsidRDefault="00AA4536" w:rsidP="00AA4536">
      <w:pPr>
        <w:spacing w:after="0" w:line="240" w:lineRule="auto"/>
        <w:jc w:val="both"/>
        <w:rPr>
          <w:rFonts w:ascii="Century" w:eastAsia="Times New Roman" w:hAnsi="Century" w:cs="Tahoma"/>
          <w:b/>
          <w:sz w:val="24"/>
          <w:szCs w:val="24"/>
          <w:lang w:val="es-ES" w:eastAsia="es-ES"/>
        </w:rPr>
      </w:pPr>
    </w:p>
    <w:p w14:paraId="78CF8C93" w14:textId="77777777" w:rsidR="00644153" w:rsidRPr="00AB7354" w:rsidRDefault="00AA4536" w:rsidP="00941FEB">
      <w:pPr>
        <w:spacing w:after="0" w:line="240" w:lineRule="auto"/>
        <w:ind w:firstLine="360"/>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empresas participantes tendrán que:</w:t>
      </w:r>
    </w:p>
    <w:p w14:paraId="4D50DBF6" w14:textId="77777777" w:rsidR="00644153" w:rsidRPr="00AB7354" w:rsidRDefault="00644153" w:rsidP="00AA4536">
      <w:pPr>
        <w:spacing w:after="0" w:line="240" w:lineRule="auto"/>
        <w:jc w:val="both"/>
        <w:rPr>
          <w:rFonts w:ascii="Century" w:eastAsia="Times New Roman" w:hAnsi="Century" w:cs="Tahoma"/>
          <w:bCs/>
          <w:sz w:val="24"/>
          <w:szCs w:val="24"/>
          <w:lang w:val="es-ES" w:eastAsia="es-ES"/>
        </w:rPr>
      </w:pPr>
    </w:p>
    <w:p w14:paraId="3213503F" w14:textId="3BB3DF40" w:rsidR="00B24A80" w:rsidRPr="00AB7354" w:rsidRDefault="00C22878"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w:t>
      </w:r>
      <w:r w:rsidR="00644153" w:rsidRPr="00AB7354">
        <w:rPr>
          <w:rFonts w:ascii="Century" w:eastAsia="Times New Roman" w:hAnsi="Century" w:cs="Tahoma"/>
          <w:bCs/>
          <w:sz w:val="24"/>
          <w:szCs w:val="24"/>
          <w:lang w:val="es-ES" w:eastAsia="es-ES"/>
        </w:rPr>
        <w:t>ntregar muestra d</w:t>
      </w:r>
      <w:r w:rsidR="008E3000">
        <w:rPr>
          <w:rFonts w:ascii="Century" w:eastAsia="Times New Roman" w:hAnsi="Century" w:cs="Tahoma"/>
          <w:bCs/>
          <w:sz w:val="24"/>
          <w:szCs w:val="24"/>
          <w:lang w:val="es-ES" w:eastAsia="es-ES"/>
        </w:rPr>
        <w:t xml:space="preserve">el </w:t>
      </w:r>
      <w:r w:rsidR="00644153" w:rsidRPr="00AB7354">
        <w:rPr>
          <w:rFonts w:ascii="Century" w:eastAsia="Times New Roman" w:hAnsi="Century" w:cs="Tahoma"/>
          <w:bCs/>
          <w:sz w:val="24"/>
          <w:szCs w:val="24"/>
          <w:lang w:val="es-ES" w:eastAsia="es-ES"/>
        </w:rPr>
        <w:t xml:space="preserve"> productos ofertados</w:t>
      </w:r>
      <w:r w:rsidR="00B24A80" w:rsidRPr="00AB7354">
        <w:rPr>
          <w:rFonts w:ascii="Century" w:eastAsia="Times New Roman" w:hAnsi="Century" w:cs="Tahoma"/>
          <w:bCs/>
          <w:sz w:val="24"/>
          <w:szCs w:val="24"/>
          <w:lang w:val="es-ES" w:eastAsia="es-ES"/>
        </w:rPr>
        <w:t xml:space="preserve">. </w:t>
      </w:r>
    </w:p>
    <w:p w14:paraId="29FA5F99" w14:textId="77777777" w:rsidR="00644153" w:rsidRPr="00AB7354" w:rsidRDefault="00644153" w:rsidP="00B306D1">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muestra debe ser entregada en una caja con todos los productos que el proveedor este ofertando la caja debe estar rotulada con el nombre de la empresa el teléfono y correo electrónico del representante. </w:t>
      </w:r>
    </w:p>
    <w:p w14:paraId="05323AD7" w14:textId="77777777" w:rsidR="00AA4536" w:rsidRPr="00AB7354" w:rsidRDefault="00AA4536"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Formulario de entrega de muestras (SNCC.F.056)</w:t>
      </w:r>
    </w:p>
    <w:p w14:paraId="7307FDCE" w14:textId="77777777" w:rsidR="00AA4536"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lastRenderedPageBreak/>
        <w:t>Registro de Proveedores del Estado actualizado (RPE)</w:t>
      </w:r>
    </w:p>
    <w:p w14:paraId="14A0AE6A"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emitida por la Dirección General de Impuestos Internos (DGII) donde manifieste que el oferente está al día en el pago de sus obligaciones fiscales.</w:t>
      </w:r>
    </w:p>
    <w:p w14:paraId="734FE59B"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Certificación de la Tesorería de la Seguridad Social (TSS) vigente.</w:t>
      </w:r>
    </w:p>
    <w:p w14:paraId="5B2867FD"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Copia de Cédula de identidad del gerente o del representante legal autorizado a</w:t>
      </w:r>
    </w:p>
    <w:p w14:paraId="382A3857"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firmar.</w:t>
      </w:r>
    </w:p>
    <w:p w14:paraId="46C03CDE" w14:textId="77777777" w:rsidR="00644153" w:rsidRPr="00AB7354" w:rsidRDefault="00644153" w:rsidP="00644153">
      <w:pPr>
        <w:pStyle w:val="Prrafodelista"/>
        <w:numPr>
          <w:ilvl w:val="0"/>
          <w:numId w:val="1"/>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Registro Mercantil.</w:t>
      </w:r>
    </w:p>
    <w:p w14:paraId="57EBF3A1" w14:textId="77777777" w:rsidR="00715199" w:rsidRPr="00AB7354" w:rsidRDefault="00715199" w:rsidP="00715199">
      <w:pPr>
        <w:spacing w:after="0" w:line="240" w:lineRule="auto"/>
        <w:ind w:left="360"/>
        <w:jc w:val="both"/>
        <w:rPr>
          <w:rFonts w:ascii="Century" w:eastAsia="Times New Roman" w:hAnsi="Century" w:cs="Tahoma"/>
          <w:bCs/>
          <w:sz w:val="24"/>
          <w:szCs w:val="24"/>
          <w:lang w:val="es-ES" w:eastAsia="es-ES"/>
        </w:rPr>
      </w:pPr>
    </w:p>
    <w:p w14:paraId="11EE3F4F" w14:textId="77777777" w:rsidR="00A237EE" w:rsidRPr="00AB7354" w:rsidRDefault="00715199" w:rsidP="00715199">
      <w:pPr>
        <w:spacing w:after="0" w:line="240" w:lineRule="auto"/>
        <w:ind w:left="360"/>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Forma de pago</w:t>
      </w:r>
    </w:p>
    <w:p w14:paraId="7BFF68AD" w14:textId="77777777" w:rsidR="00715199" w:rsidRPr="00AB7354" w:rsidRDefault="00715199" w:rsidP="00715199">
      <w:pPr>
        <w:spacing w:after="0" w:line="240" w:lineRule="auto"/>
        <w:ind w:left="360"/>
        <w:jc w:val="both"/>
        <w:rPr>
          <w:rFonts w:ascii="Century" w:eastAsia="Times New Roman" w:hAnsi="Century" w:cs="Tahoma"/>
          <w:b/>
          <w:sz w:val="24"/>
          <w:szCs w:val="24"/>
          <w:lang w:val="es-ES" w:eastAsia="es-ES"/>
        </w:rPr>
      </w:pPr>
    </w:p>
    <w:p w14:paraId="105FB0C8" w14:textId="77777777" w:rsidR="00715199" w:rsidRPr="00AB7354" w:rsidRDefault="00715199" w:rsidP="00715199">
      <w:pPr>
        <w:pStyle w:val="Prrafodelista"/>
        <w:numPr>
          <w:ilvl w:val="0"/>
          <w:numId w:val="5"/>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Crédito</w:t>
      </w:r>
    </w:p>
    <w:p w14:paraId="420DACEB" w14:textId="77777777" w:rsidR="00941FEB" w:rsidRPr="00AB7354" w:rsidRDefault="00941FEB" w:rsidP="00A237EE">
      <w:pPr>
        <w:spacing w:after="0" w:line="240" w:lineRule="auto"/>
        <w:ind w:left="720"/>
        <w:jc w:val="both"/>
        <w:rPr>
          <w:rFonts w:ascii="Century" w:eastAsia="Times New Roman" w:hAnsi="Century" w:cs="Tahoma"/>
          <w:b/>
          <w:sz w:val="24"/>
          <w:szCs w:val="24"/>
          <w:lang w:val="es-ES" w:eastAsia="es-ES"/>
        </w:rPr>
      </w:pPr>
    </w:p>
    <w:p w14:paraId="62BA73E2" w14:textId="4CE44E6C" w:rsidR="00AB7354" w:rsidRPr="00AB7354" w:rsidRDefault="00AB7354" w:rsidP="00AB7354">
      <w:pPr>
        <w:pStyle w:val="Ttulo3"/>
        <w:rPr>
          <w:rFonts w:ascii="Century" w:hAnsi="Century"/>
          <w:b/>
          <w:bCs/>
          <w:color w:val="000000" w:themeColor="text1"/>
        </w:rPr>
      </w:pPr>
      <w:bookmarkStart w:id="0" w:name="_GoBack"/>
      <w:bookmarkEnd w:id="0"/>
      <w:r w:rsidRPr="00AB7354">
        <w:rPr>
          <w:rFonts w:ascii="Century" w:hAnsi="Century"/>
          <w:b/>
          <w:bCs/>
          <w:color w:val="000000" w:themeColor="text1"/>
        </w:rPr>
        <w:t xml:space="preserve">Consultas, circulares y enmiendas </w:t>
      </w:r>
    </w:p>
    <w:p w14:paraId="25FC88FC"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 xml:space="preserve">Los interesados podrán solicitar al CECANOT aclaraciones acerca de las Fichas Técnicas, hasta la fecha que coincida con el </w:t>
      </w:r>
      <w:r w:rsidRPr="00AB7354">
        <w:rPr>
          <w:rFonts w:ascii="Century" w:hAnsi="Century" w:cs="Arial"/>
          <w:b/>
          <w:sz w:val="24"/>
          <w:szCs w:val="24"/>
        </w:rPr>
        <w:t>CINCUENTA POR CIENTO (50%)</w:t>
      </w:r>
      <w:r w:rsidRPr="00AB7354">
        <w:rPr>
          <w:rFonts w:ascii="Century" w:hAnsi="Century" w:cs="Arial"/>
          <w:sz w:val="24"/>
          <w:szCs w:val="24"/>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 w:name="_Toc379797385"/>
      <w:bookmarkStart w:id="2" w:name="_Toc185953156"/>
      <w:bookmarkStart w:id="3" w:name="_Toc159673583"/>
      <w:r w:rsidRPr="00AB7354">
        <w:rPr>
          <w:rFonts w:ascii="Century" w:hAnsi="Century" w:cs="Arial"/>
          <w:sz w:val="24"/>
          <w:szCs w:val="24"/>
        </w:rPr>
        <w:t>me a la naturaleza de la misma.</w:t>
      </w:r>
    </w:p>
    <w:p w14:paraId="641FE3E4" w14:textId="77777777" w:rsidR="00AB7354" w:rsidRPr="00AB7354" w:rsidRDefault="00AB7354" w:rsidP="00AB7354">
      <w:pPr>
        <w:pStyle w:val="Ttulo3"/>
        <w:rPr>
          <w:rStyle w:val="Hipervnculo"/>
          <w:rFonts w:ascii="Century" w:hAnsi="Century"/>
          <w:b/>
          <w:bCs/>
          <w:color w:val="000000" w:themeColor="text1"/>
        </w:rPr>
      </w:pPr>
      <w:r w:rsidRPr="00AB7354">
        <w:rPr>
          <w:rFonts w:ascii="Century" w:hAnsi="Century"/>
          <w:b/>
          <w:bCs/>
          <w:color w:val="000000" w:themeColor="text1"/>
        </w:rPr>
        <w:t>*Dirección</w:t>
      </w:r>
      <w:bookmarkEnd w:id="1"/>
      <w:bookmarkEnd w:id="2"/>
      <w:bookmarkEnd w:id="3"/>
      <w:r w:rsidRPr="00AB7354">
        <w:rPr>
          <w:rFonts w:ascii="Century" w:hAnsi="Century"/>
          <w:b/>
          <w:bCs/>
          <w:color w:val="000000" w:themeColor="text1"/>
        </w:rPr>
        <w:t xml:space="preserve"> de correo electrónico: </w:t>
      </w:r>
      <w:hyperlink r:id="rId8" w:history="1">
        <w:r w:rsidRPr="00AB7354">
          <w:rPr>
            <w:rStyle w:val="Hipervnculo"/>
            <w:rFonts w:ascii="Century" w:hAnsi="Century"/>
            <w:b/>
            <w:bCs/>
            <w:color w:val="000000" w:themeColor="text1"/>
          </w:rPr>
          <w:t>compras@cecanot.com.do</w:t>
        </w:r>
      </w:hyperlink>
    </w:p>
    <w:p w14:paraId="36769272" w14:textId="77777777" w:rsidR="00AB7354" w:rsidRPr="00AB7354" w:rsidRDefault="00AB7354" w:rsidP="00AB7354">
      <w:pPr>
        <w:rPr>
          <w:rFonts w:ascii="Century" w:hAnsi="Century"/>
          <w:sz w:val="24"/>
          <w:szCs w:val="24"/>
          <w:lang w:val="es-ES" w:eastAsia="es-ES"/>
        </w:rPr>
      </w:pPr>
    </w:p>
    <w:p w14:paraId="7DDCF979" w14:textId="77777777" w:rsidR="00AB7354" w:rsidRPr="00AB7354" w:rsidRDefault="00AB7354" w:rsidP="00AB7354">
      <w:pPr>
        <w:pStyle w:val="Textoindependiente"/>
        <w:rPr>
          <w:rFonts w:ascii="Century" w:hAnsi="Century" w:cs="Arial"/>
          <w:color w:val="auto"/>
        </w:rPr>
      </w:pPr>
      <w:r w:rsidRPr="00AB7354">
        <w:rPr>
          <w:rFonts w:ascii="Century" w:hAnsi="Century" w:cs="Arial"/>
          <w:color w:val="auto"/>
        </w:rPr>
        <w:t>Las Consultas se remitirán al Comité de Compras y Contrataciones, dirigidas a:</w:t>
      </w:r>
    </w:p>
    <w:p w14:paraId="215BA3E6" w14:textId="77777777" w:rsidR="00AB7354" w:rsidRPr="00AB7354" w:rsidRDefault="00AB7354" w:rsidP="00AB7354">
      <w:pPr>
        <w:spacing w:after="0"/>
        <w:jc w:val="both"/>
        <w:rPr>
          <w:rFonts w:ascii="Century" w:hAnsi="Century" w:cs="Arial"/>
          <w:sz w:val="24"/>
          <w:szCs w:val="24"/>
        </w:rPr>
      </w:pPr>
    </w:p>
    <w:p w14:paraId="53AB7BA8" w14:textId="77777777" w:rsidR="00AB7354" w:rsidRPr="00AB7354" w:rsidRDefault="00AB7354" w:rsidP="00AB7354">
      <w:pPr>
        <w:spacing w:after="0"/>
        <w:rPr>
          <w:rFonts w:ascii="Century" w:hAnsi="Century" w:cs="Arial"/>
          <w:sz w:val="24"/>
          <w:szCs w:val="24"/>
        </w:rPr>
      </w:pPr>
      <w:r w:rsidRPr="00AB7354">
        <w:rPr>
          <w:rFonts w:ascii="Century" w:hAnsi="Century" w:cs="Arial"/>
          <w:sz w:val="24"/>
          <w:szCs w:val="24"/>
        </w:rPr>
        <w:t>COMITÉ DE COMPRAS Y CONTRATACIONES</w:t>
      </w:r>
    </w:p>
    <w:p w14:paraId="74B3B259" w14:textId="77777777" w:rsidR="00AB7354" w:rsidRPr="00AB7354" w:rsidRDefault="00AB7354" w:rsidP="00AB7354">
      <w:pPr>
        <w:spacing w:after="0"/>
        <w:rPr>
          <w:rFonts w:ascii="Century" w:hAnsi="Century" w:cs="Arial"/>
          <w:b/>
          <w:sz w:val="24"/>
          <w:szCs w:val="24"/>
        </w:rPr>
      </w:pPr>
      <w:r w:rsidRPr="00AB7354">
        <w:rPr>
          <w:rFonts w:ascii="Century" w:hAnsi="Century" w:cs="Arial"/>
          <w:b/>
          <w:sz w:val="24"/>
          <w:szCs w:val="24"/>
        </w:rPr>
        <w:t xml:space="preserve">Centro Cardio Neuro Oftalmológico y Trasplante </w:t>
      </w:r>
    </w:p>
    <w:p w14:paraId="2CCDE3C3"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Dirección:</w:t>
      </w:r>
      <w:r w:rsidRPr="00AB7354">
        <w:rPr>
          <w:rFonts w:ascii="Century" w:hAnsi="Century" w:cs="Arial"/>
          <w:sz w:val="24"/>
          <w:szCs w:val="24"/>
        </w:rPr>
        <w:t xml:space="preserve"> Calle Federico Velásquez No. 1, sector María Auxiliadora</w:t>
      </w:r>
    </w:p>
    <w:p w14:paraId="71A78B2D" w14:textId="77777777" w:rsidR="00AB7354" w:rsidRPr="00AB7354" w:rsidRDefault="00AB7354" w:rsidP="00AB7354">
      <w:pPr>
        <w:spacing w:after="0"/>
        <w:rPr>
          <w:rFonts w:ascii="Century" w:hAnsi="Century" w:cs="Arial"/>
          <w:b/>
          <w:color w:val="800000"/>
          <w:sz w:val="24"/>
          <w:szCs w:val="24"/>
        </w:rPr>
      </w:pPr>
      <w:r w:rsidRPr="00AB7354">
        <w:rPr>
          <w:rFonts w:ascii="Century" w:hAnsi="Century" w:cs="Arial"/>
          <w:b/>
          <w:sz w:val="24"/>
          <w:szCs w:val="24"/>
        </w:rPr>
        <w:t>Teléfonos:</w:t>
      </w:r>
      <w:r w:rsidRPr="00AB7354">
        <w:rPr>
          <w:rFonts w:ascii="Century" w:hAnsi="Century" w:cs="Arial"/>
          <w:sz w:val="24"/>
          <w:szCs w:val="24"/>
        </w:rPr>
        <w:t xml:space="preserve"> (809) 681-0080 Ext. 230</w:t>
      </w:r>
    </w:p>
    <w:p w14:paraId="4393274C" w14:textId="77777777" w:rsidR="00AB7354" w:rsidRPr="00AB7354" w:rsidRDefault="00AB7354" w:rsidP="00AB7354">
      <w:pPr>
        <w:spacing w:after="0"/>
        <w:rPr>
          <w:rFonts w:ascii="Century" w:hAnsi="Century" w:cs="Arial"/>
          <w:sz w:val="24"/>
          <w:szCs w:val="24"/>
        </w:rPr>
      </w:pPr>
    </w:p>
    <w:p w14:paraId="7F576273"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 xml:space="preserve">La Unidad Operativa de Compras y Contrataciones para dar respuestas a tales consultas, deberá emitir circulares aclaratorias.  Dichas circulares deberán ser </w:t>
      </w:r>
      <w:r w:rsidRPr="00AB7354">
        <w:rPr>
          <w:rFonts w:ascii="Century" w:hAnsi="Century" w:cs="Arial"/>
          <w:sz w:val="24"/>
          <w:szCs w:val="24"/>
        </w:rPr>
        <w:lastRenderedPageBreak/>
        <w:t>emitidas solo con las preguntas y las respuestas, sin identificar quien consultó, en un plazo no más allá de la fecha que signifique el</w:t>
      </w:r>
      <w:r w:rsidRPr="00AB7354">
        <w:rPr>
          <w:rFonts w:ascii="Century" w:hAnsi="Century" w:cs="Arial"/>
          <w:b/>
          <w:sz w:val="24"/>
          <w:szCs w:val="24"/>
        </w:rPr>
        <w:t xml:space="preserve"> SETENTA Y CINCO POR CIENTO(75%)</w:t>
      </w:r>
      <w:r w:rsidRPr="00AB7354">
        <w:rPr>
          <w:rFonts w:ascii="Century" w:hAnsi="Century" w:cs="Arial"/>
          <w:sz w:val="24"/>
          <w:szCs w:val="24"/>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5668DFCB"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rPr>
          <w:rFonts w:ascii="Century" w:hAnsi="Century"/>
          <w:b/>
          <w:bCs/>
          <w:color w:val="000000" w:themeColor="text1"/>
        </w:rPr>
      </w:pPr>
      <w:bookmarkStart w:id="4" w:name="_Toc379797386"/>
      <w:bookmarkStart w:id="5" w:name="_Toc185953157"/>
      <w:bookmarkStart w:id="6" w:name="_Toc159673584"/>
      <w:r w:rsidRPr="00AB7354">
        <w:rPr>
          <w:rFonts w:ascii="Century" w:hAnsi="Century"/>
          <w:b/>
          <w:bCs/>
          <w:color w:val="000000" w:themeColor="text1"/>
        </w:rPr>
        <w:t xml:space="preserve"> Circulares</w:t>
      </w:r>
      <w:bookmarkEnd w:id="4"/>
      <w:bookmarkEnd w:id="5"/>
      <w:bookmarkEnd w:id="6"/>
    </w:p>
    <w:p w14:paraId="105E5F11"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0F71CD5F" w14:textId="77777777" w:rsidR="00AB7354" w:rsidRPr="00AB7354" w:rsidRDefault="00AB7354" w:rsidP="00AB7354">
      <w:pPr>
        <w:pStyle w:val="Ttulo3"/>
        <w:keepLines w:val="0"/>
        <w:tabs>
          <w:tab w:val="left" w:pos="7920"/>
          <w:tab w:val="left" w:pos="9895"/>
        </w:tabs>
        <w:autoSpaceDE w:val="0"/>
        <w:autoSpaceDN w:val="0"/>
        <w:adjustRightInd w:val="0"/>
        <w:spacing w:before="0" w:line="240" w:lineRule="auto"/>
        <w:ind w:left="785"/>
        <w:rPr>
          <w:rFonts w:ascii="Century" w:hAnsi="Century"/>
          <w:b/>
          <w:bCs/>
          <w:color w:val="000000" w:themeColor="text1"/>
        </w:rPr>
      </w:pPr>
      <w:bookmarkStart w:id="7" w:name="_Toc379797387"/>
      <w:bookmarkStart w:id="8" w:name="_Toc185953158"/>
      <w:bookmarkStart w:id="9" w:name="_Toc159673585"/>
      <w:r w:rsidRPr="00AB7354">
        <w:rPr>
          <w:rFonts w:ascii="Century" w:hAnsi="Century"/>
          <w:b/>
          <w:bCs/>
          <w:color w:val="000000" w:themeColor="text1"/>
        </w:rPr>
        <w:t xml:space="preserve"> Enmiendas</w:t>
      </w:r>
      <w:bookmarkEnd w:id="7"/>
      <w:bookmarkEnd w:id="8"/>
      <w:bookmarkEnd w:id="9"/>
    </w:p>
    <w:p w14:paraId="1BE05FD9"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09C9D35D" w14:textId="77777777" w:rsidR="00AB7354" w:rsidRPr="00AB7354" w:rsidRDefault="00AB7354" w:rsidP="00AB7354">
      <w:pPr>
        <w:jc w:val="both"/>
        <w:rPr>
          <w:rFonts w:ascii="Century" w:hAnsi="Century" w:cs="Arial"/>
          <w:sz w:val="24"/>
          <w:szCs w:val="24"/>
        </w:rPr>
      </w:pPr>
      <w:r w:rsidRPr="00AB7354">
        <w:rPr>
          <w:rFonts w:ascii="Century" w:hAnsi="Century" w:cs="Arial"/>
          <w:sz w:val="24"/>
          <w:szCs w:val="24"/>
        </w:rPr>
        <w:t>Tanto las Enmiendas como las Circulares emitidas por el Comité de Compras y Contrataciones pasarán a constituir parte integral del Pliego de Condiciones y en consecuencia, serán de cumplimiento obligatorio para todos los Oferentes/Proponentes.</w:t>
      </w:r>
    </w:p>
    <w:p w14:paraId="05BDB7CF" w14:textId="77777777" w:rsidR="00AB7354" w:rsidRPr="00AB7354" w:rsidRDefault="00AB7354" w:rsidP="00AB7354">
      <w:pPr>
        <w:pStyle w:val="Textoindependiente"/>
        <w:rPr>
          <w:rFonts w:ascii="Century" w:hAnsi="Century" w:cs="Arial"/>
        </w:rPr>
      </w:pPr>
    </w:p>
    <w:p w14:paraId="117110A5" w14:textId="39F64FA7"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0" w:name="_Toc271530532"/>
      <w:bookmarkStart w:id="11" w:name="_Toc410128616"/>
      <w:r w:rsidRPr="00AB7354">
        <w:rPr>
          <w:rFonts w:ascii="Century" w:eastAsia="Times New Roman" w:hAnsi="Century" w:cs="Arial"/>
          <w:b/>
          <w:bCs/>
          <w:sz w:val="24"/>
          <w:szCs w:val="24"/>
          <w:lang w:val="es-ES" w:eastAsia="es-ES"/>
        </w:rPr>
        <w:t xml:space="preserve">Criterios de </w:t>
      </w:r>
      <w:bookmarkEnd w:id="10"/>
      <w:r w:rsidRPr="00AB7354">
        <w:rPr>
          <w:rFonts w:ascii="Century" w:eastAsia="Times New Roman" w:hAnsi="Century" w:cs="Arial"/>
          <w:b/>
          <w:bCs/>
          <w:sz w:val="24"/>
          <w:szCs w:val="24"/>
          <w:lang w:val="es-ES" w:eastAsia="es-ES"/>
        </w:rPr>
        <w:t>Evaluación</w:t>
      </w:r>
      <w:bookmarkEnd w:id="11"/>
    </w:p>
    <w:p w14:paraId="3998461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Las Propuestas deberán contener la documentación necesaria, suficiente y fehaciente para demostrar los siguientes aspectos que serán verificados bajo la modalidad “CUMPLE/ NO CUMPLE”:</w:t>
      </w:r>
    </w:p>
    <w:p w14:paraId="21C6748B"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Elegibilidad: Que el Proponente está legalmente autorizado para realizar sus actividades comerciales en el país.</w:t>
      </w:r>
    </w:p>
    <w:p w14:paraId="5571C034"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lastRenderedPageBreak/>
        <w:t xml:space="preserve">Capacidad Técnica: Que los Bienes cumplan con las todas características especificadas en las Fichas Técnicas. </w:t>
      </w:r>
    </w:p>
    <w:p w14:paraId="521616DB" w14:textId="7E345D90"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2" w:name="_Toc410128617"/>
      <w:bookmarkStart w:id="13" w:name="_Toc271530533"/>
      <w:r w:rsidRPr="00AB7354">
        <w:rPr>
          <w:rFonts w:ascii="Century" w:eastAsia="Times New Roman" w:hAnsi="Century" w:cs="Arial"/>
          <w:b/>
          <w:bCs/>
          <w:sz w:val="24"/>
          <w:szCs w:val="24"/>
          <w:lang w:val="es-ES" w:eastAsia="es-ES"/>
        </w:rPr>
        <w:t>Fase de Homologación</w:t>
      </w:r>
      <w:bookmarkEnd w:id="12"/>
      <w:bookmarkEnd w:id="13"/>
    </w:p>
    <w:p w14:paraId="3477B636" w14:textId="77777777" w:rsidR="00AB7354" w:rsidRPr="00AB7354" w:rsidRDefault="00AB7354" w:rsidP="00AB7354">
      <w:pPr>
        <w:jc w:val="both"/>
        <w:rPr>
          <w:rFonts w:ascii="Century" w:eastAsia="Calibri" w:hAnsi="Century" w:cs="Arial"/>
          <w:color w:val="000000" w:themeColor="text1"/>
          <w:sz w:val="24"/>
          <w:szCs w:val="24"/>
        </w:rPr>
      </w:pPr>
      <w:r w:rsidRPr="00AB7354">
        <w:rPr>
          <w:rFonts w:ascii="Century" w:eastAsia="Calibri" w:hAnsi="Century" w:cs="Arial"/>
          <w:color w:val="000000" w:themeColor="text1"/>
          <w:sz w:val="24"/>
          <w:szCs w:val="24"/>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6F96099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Para que un Bien pueda ser considerado CONFORME, deberá cumplir con todas y cada una de las características contenidas en las referidas Fichas Técnicas. Es decir que, el no cumplimiento en una de las especificaciones implica la descalificación de la Oferta y la declaración de NO CONFORME del Bien ofertado.</w:t>
      </w:r>
    </w:p>
    <w:p w14:paraId="69FB97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73E6CD43"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Los Peritos emitirán su informe al Comité de Compras y Contrataciones sobre los resultados de la evaluación de las Propuestas Técnicas “Sobre A”, a los fines de la recomendación final.</w:t>
      </w:r>
    </w:p>
    <w:p w14:paraId="785D8111"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06058D70" w14:textId="395A9AB3" w:rsidR="00AB7354" w:rsidRPr="00AB7354" w:rsidRDefault="00AB7354" w:rsidP="00AB735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4" w:name="_Toc410128624"/>
      <w:r w:rsidRPr="00AB7354">
        <w:rPr>
          <w:rFonts w:ascii="Century" w:eastAsia="Times New Roman" w:hAnsi="Century" w:cs="Arial"/>
          <w:b/>
          <w:bCs/>
          <w:sz w:val="24"/>
          <w:szCs w:val="24"/>
          <w:lang w:val="es-ES" w:eastAsia="es-ES"/>
        </w:rPr>
        <w:t>Criterios de Adjudicación</w:t>
      </w:r>
      <w:bookmarkEnd w:id="14"/>
    </w:p>
    <w:p w14:paraId="1E0FC24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5D9CE74C"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lastRenderedPageBreak/>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67622FB7" w14:textId="77777777" w:rsidR="00AB7354" w:rsidRPr="00AB7354" w:rsidRDefault="00AB7354" w:rsidP="00AB7354">
      <w:pPr>
        <w:jc w:val="both"/>
        <w:rPr>
          <w:rFonts w:ascii="Century" w:eastAsia="Calibri" w:hAnsi="Century" w:cs="Arial"/>
          <w:sz w:val="24"/>
          <w:szCs w:val="24"/>
        </w:rPr>
      </w:pPr>
      <w:r w:rsidRPr="00AB7354">
        <w:rPr>
          <w:rFonts w:ascii="Century" w:eastAsia="Calibri" w:hAnsi="Century" w:cs="Arial"/>
          <w:sz w:val="24"/>
          <w:szCs w:val="24"/>
        </w:rPr>
        <w:t>Si se presentase una sola Oferta, ella deberá ser considerada y se procederá a la Adjudicación, si habiendo cumplido con lo exigido en el Pliego de Condiciones Específicas, se le considera conveniente a los intereses de la Institución.</w:t>
      </w:r>
    </w:p>
    <w:p w14:paraId="3CCD68E8" w14:textId="77777777" w:rsidR="00AB7354" w:rsidRPr="00AB7354" w:rsidRDefault="00AB7354" w:rsidP="00AB7354">
      <w:pPr>
        <w:pStyle w:val="Textoindependiente"/>
        <w:rPr>
          <w:rFonts w:ascii="Century" w:hAnsi="Century" w:cs="Arial"/>
        </w:rPr>
      </w:pPr>
    </w:p>
    <w:p w14:paraId="2F3E5590" w14:textId="77777777" w:rsidR="00AB7354" w:rsidRPr="00AB7354" w:rsidRDefault="00AB7354" w:rsidP="00AB7354">
      <w:pPr>
        <w:pStyle w:val="Textoindependiente"/>
        <w:rPr>
          <w:rFonts w:ascii="Century" w:hAnsi="Century" w:cs="Arial"/>
          <w:b/>
        </w:rPr>
      </w:pPr>
      <w:r w:rsidRPr="00AB7354">
        <w:rPr>
          <w:rFonts w:ascii="Century" w:hAnsi="Century" w:cs="Arial"/>
          <w:b/>
        </w:rPr>
        <w:t>No se considerarán válidas las Ofertas Técnicas de aquellos productos de los que no se hayan recibido las muestras correspondientes.</w:t>
      </w:r>
    </w:p>
    <w:p w14:paraId="05654185" w14:textId="77777777" w:rsidR="00AB7354" w:rsidRPr="00AB7354" w:rsidRDefault="00AB7354" w:rsidP="00AB7354">
      <w:pPr>
        <w:pStyle w:val="Textoindependiente"/>
        <w:rPr>
          <w:rFonts w:ascii="Century" w:hAnsi="Century" w:cs="Arial"/>
          <w:b/>
        </w:rPr>
      </w:pPr>
    </w:p>
    <w:p w14:paraId="188F3461" w14:textId="77777777" w:rsidR="00AB7354" w:rsidRPr="00AB7354" w:rsidRDefault="00AB7354" w:rsidP="00AB7354">
      <w:pPr>
        <w:pStyle w:val="Textoindependiente"/>
        <w:rPr>
          <w:rFonts w:ascii="Century" w:hAnsi="Century" w:cs="Arial"/>
          <w:b/>
          <w:bCs/>
        </w:rPr>
      </w:pPr>
      <w:r w:rsidRPr="00AB7354">
        <w:rPr>
          <w:rFonts w:ascii="Century" w:hAnsi="Century" w:cs="Arial"/>
          <w:b/>
          <w:bCs/>
        </w:rPr>
        <w:t>Deberán presentar el Formulario de Entrega de Muestras.</w:t>
      </w:r>
    </w:p>
    <w:p w14:paraId="63C3E513" w14:textId="77777777" w:rsidR="00941FEB" w:rsidRPr="00AB7354" w:rsidRDefault="00941FEB" w:rsidP="00AB7354">
      <w:pPr>
        <w:spacing w:after="0" w:line="240" w:lineRule="auto"/>
        <w:ind w:left="720"/>
        <w:jc w:val="both"/>
        <w:rPr>
          <w:rFonts w:ascii="Century" w:hAnsi="Century"/>
          <w:sz w:val="24"/>
          <w:szCs w:val="24"/>
          <w:lang w:val="es-ES" w:eastAsia="es-ES"/>
        </w:rPr>
      </w:pPr>
    </w:p>
    <w:p w14:paraId="648A52E6" w14:textId="77777777" w:rsidR="00941FEB" w:rsidRPr="00AB7354" w:rsidRDefault="00941FEB" w:rsidP="00B24A80">
      <w:pPr>
        <w:spacing w:after="0" w:line="240" w:lineRule="auto"/>
        <w:jc w:val="both"/>
        <w:rPr>
          <w:rFonts w:ascii="Century" w:eastAsia="Times New Roman" w:hAnsi="Century" w:cs="Tahoma"/>
          <w:b/>
          <w:sz w:val="24"/>
          <w:szCs w:val="24"/>
          <w:lang w:val="es-ES" w:eastAsia="es-ES"/>
        </w:rPr>
      </w:pPr>
    </w:p>
    <w:p w14:paraId="299B2D4E" w14:textId="77777777" w:rsidR="00941FEB" w:rsidRPr="00AB7354" w:rsidRDefault="00A237EE" w:rsidP="00941FEB">
      <w:pPr>
        <w:spacing w:after="0" w:line="240" w:lineRule="auto"/>
        <w:jc w:val="both"/>
        <w:rPr>
          <w:rFonts w:ascii="Century" w:eastAsia="Times New Roman" w:hAnsi="Century" w:cs="Tahoma"/>
          <w:b/>
          <w:sz w:val="24"/>
          <w:szCs w:val="24"/>
          <w:lang w:val="es-ES" w:eastAsia="es-ES"/>
        </w:rPr>
      </w:pPr>
      <w:r w:rsidRPr="00AB7354">
        <w:rPr>
          <w:rFonts w:ascii="Century" w:eastAsia="Times New Roman" w:hAnsi="Century" w:cs="Tahoma"/>
          <w:b/>
          <w:sz w:val="24"/>
          <w:szCs w:val="24"/>
          <w:lang w:val="es-ES" w:eastAsia="es-ES"/>
        </w:rPr>
        <w:t xml:space="preserve">      </w:t>
      </w:r>
      <w:r w:rsidR="00B24A80"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 xml:space="preserve">  </w:t>
      </w:r>
      <w:r w:rsidR="00941FEB" w:rsidRPr="00AB7354">
        <w:rPr>
          <w:rFonts w:ascii="Century" w:eastAsia="Times New Roman" w:hAnsi="Century" w:cs="Tahoma"/>
          <w:b/>
          <w:sz w:val="24"/>
          <w:szCs w:val="24"/>
          <w:lang w:val="es-ES" w:eastAsia="es-ES"/>
        </w:rPr>
        <w:tab/>
      </w:r>
      <w:r w:rsidR="00941FEB" w:rsidRPr="00AB7354">
        <w:rPr>
          <w:rFonts w:ascii="Century" w:eastAsia="Times New Roman" w:hAnsi="Century" w:cs="Tahoma"/>
          <w:b/>
          <w:sz w:val="24"/>
          <w:szCs w:val="24"/>
          <w:lang w:val="es-ES" w:eastAsia="es-ES"/>
        </w:rPr>
        <w:tab/>
      </w:r>
      <w:r w:rsidR="00B24A80" w:rsidRPr="00AB7354">
        <w:rPr>
          <w:rFonts w:ascii="Century" w:eastAsia="Times New Roman" w:hAnsi="Century" w:cs="Tahoma"/>
          <w:b/>
          <w:sz w:val="24"/>
          <w:szCs w:val="24"/>
          <w:lang w:val="es-ES" w:eastAsia="es-ES"/>
        </w:rPr>
        <w:t xml:space="preserve">Nota aclaratoria </w:t>
      </w:r>
    </w:p>
    <w:p w14:paraId="4125C474" w14:textId="77777777" w:rsidR="00C22878" w:rsidRPr="00AB7354" w:rsidRDefault="00C22878" w:rsidP="00B24A80">
      <w:pPr>
        <w:spacing w:after="0" w:line="240" w:lineRule="auto"/>
        <w:jc w:val="both"/>
        <w:rPr>
          <w:rFonts w:ascii="Century" w:eastAsia="Times New Roman" w:hAnsi="Century" w:cs="Tahoma"/>
          <w:bCs/>
          <w:sz w:val="24"/>
          <w:szCs w:val="24"/>
          <w:lang w:val="es-ES" w:eastAsia="es-ES"/>
        </w:rPr>
      </w:pPr>
    </w:p>
    <w:p w14:paraId="60EE7C0B" w14:textId="77777777" w:rsidR="00A237EE"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Los productos ofertados deben ser de calidad y marcas reconocidas.</w:t>
      </w:r>
    </w:p>
    <w:p w14:paraId="38198D09" w14:textId="77777777" w:rsidR="00C22878" w:rsidRPr="00AB7354" w:rsidRDefault="00C22878" w:rsidP="00A237EE">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Productos frescos con un mínimo de vencimiento de 3 meses para los que apliquen. </w:t>
      </w:r>
    </w:p>
    <w:p w14:paraId="47446058" w14:textId="77777777" w:rsidR="00C22878" w:rsidRPr="00AB7354" w:rsidRDefault="00C22878"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El requerimiento de las muestras es con el fin de evaluar la calidad de los productos ofertados por los participantes, al momento de despachar, lo solicitado debe coincidir con las muestras entregadas.</w:t>
      </w:r>
    </w:p>
    <w:p w14:paraId="2530F426" w14:textId="77777777" w:rsidR="00E10895" w:rsidRPr="00AB7354" w:rsidRDefault="00E10895" w:rsidP="00C22878">
      <w:pPr>
        <w:pStyle w:val="Prrafodelista"/>
        <w:numPr>
          <w:ilvl w:val="0"/>
          <w:numId w:val="3"/>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Las muestras no tienen devolución</w:t>
      </w:r>
      <w:r w:rsidR="00614100" w:rsidRPr="00AB7354">
        <w:rPr>
          <w:rFonts w:ascii="Century" w:eastAsia="Times New Roman" w:hAnsi="Century" w:cs="Tahoma"/>
          <w:bCs/>
          <w:sz w:val="24"/>
          <w:szCs w:val="24"/>
          <w:lang w:val="es-ES" w:eastAsia="es-ES"/>
        </w:rPr>
        <w:t xml:space="preserve">. </w:t>
      </w:r>
      <w:r w:rsidRPr="00AB7354">
        <w:rPr>
          <w:rFonts w:ascii="Century" w:eastAsia="Times New Roman" w:hAnsi="Century" w:cs="Tahoma"/>
          <w:bCs/>
          <w:sz w:val="24"/>
          <w:szCs w:val="24"/>
          <w:lang w:val="es-ES" w:eastAsia="es-ES"/>
        </w:rPr>
        <w:t xml:space="preserve"> </w:t>
      </w:r>
    </w:p>
    <w:p w14:paraId="62132A06" w14:textId="77777777" w:rsidR="00B24A80" w:rsidRPr="00AB7354" w:rsidRDefault="00B24A80" w:rsidP="00A237EE">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Las entregas serán fraccionadas, cada semana se enviará una lista con los productos solicitados por el departamento de cocina, indicando las cantidades requeridas, hasta agotar las cantidades. </w:t>
      </w:r>
    </w:p>
    <w:p w14:paraId="14400851" w14:textId="77777777" w:rsidR="00941FEB" w:rsidRPr="00AB7354" w:rsidRDefault="00941FEB" w:rsidP="00A237EE">
      <w:pPr>
        <w:pStyle w:val="Prrafodelista"/>
        <w:numPr>
          <w:ilvl w:val="0"/>
          <w:numId w:val="2"/>
        </w:numPr>
        <w:spacing w:after="0" w:line="240" w:lineRule="auto"/>
        <w:jc w:val="both"/>
        <w:rPr>
          <w:rFonts w:ascii="Century" w:eastAsia="Times New Roman" w:hAnsi="Century" w:cs="Tahoma"/>
          <w:bCs/>
          <w:sz w:val="24"/>
          <w:szCs w:val="24"/>
          <w:lang w:val="es-ES" w:eastAsia="es-ES"/>
        </w:rPr>
      </w:pPr>
      <w:r w:rsidRPr="00AB7354">
        <w:rPr>
          <w:rFonts w:ascii="Century" w:eastAsia="Times New Roman" w:hAnsi="Century" w:cs="Tahoma"/>
          <w:bCs/>
          <w:sz w:val="24"/>
          <w:szCs w:val="24"/>
          <w:lang w:val="es-ES" w:eastAsia="es-ES"/>
        </w:rPr>
        <w:t xml:space="preserve">La adjudicación será por lote, el detalle de los artículos o productos solicitados se encuentran </w:t>
      </w:r>
      <w:r w:rsidR="00E10895" w:rsidRPr="00AB7354">
        <w:rPr>
          <w:rFonts w:ascii="Century" w:eastAsia="Times New Roman" w:hAnsi="Century" w:cs="Tahoma"/>
          <w:bCs/>
          <w:sz w:val="24"/>
          <w:szCs w:val="24"/>
          <w:lang w:val="es-ES" w:eastAsia="es-ES"/>
        </w:rPr>
        <w:t xml:space="preserve">en el </w:t>
      </w:r>
      <w:r w:rsidRPr="00AB7354">
        <w:rPr>
          <w:rFonts w:ascii="Century" w:eastAsia="Times New Roman" w:hAnsi="Century" w:cs="Tahoma"/>
          <w:bCs/>
          <w:sz w:val="24"/>
          <w:szCs w:val="24"/>
          <w:lang w:val="es-ES" w:eastAsia="es-ES"/>
        </w:rPr>
        <w:t>anexo.</w:t>
      </w:r>
    </w:p>
    <w:p w14:paraId="778BC09F"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p>
    <w:p w14:paraId="4769929D" w14:textId="77777777" w:rsidR="00876FED" w:rsidRPr="00AB7354" w:rsidRDefault="00876FED" w:rsidP="00876FED">
      <w:pPr>
        <w:spacing w:after="0" w:line="240" w:lineRule="auto"/>
        <w:jc w:val="both"/>
        <w:rPr>
          <w:rFonts w:ascii="Century" w:eastAsia="Times New Roman" w:hAnsi="Century" w:cs="Tahoma"/>
          <w:bCs/>
          <w:sz w:val="24"/>
          <w:szCs w:val="24"/>
          <w:lang w:val="es-ES" w:eastAsia="es-ES"/>
        </w:rPr>
      </w:pPr>
    </w:p>
    <w:sectPr w:rsidR="00876FED" w:rsidRPr="00AB7354" w:rsidSect="00C504AA">
      <w:headerReference w:type="default" r:id="rId9"/>
      <w:footerReference w:type="default" r:id="rId10"/>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9F4FC" w14:textId="77777777" w:rsidR="00905A97" w:rsidRDefault="00905A97" w:rsidP="00E839EC">
      <w:pPr>
        <w:spacing w:after="0" w:line="240" w:lineRule="auto"/>
      </w:pPr>
      <w:r>
        <w:separator/>
      </w:r>
    </w:p>
  </w:endnote>
  <w:endnote w:type="continuationSeparator" w:id="0">
    <w:p w14:paraId="308D7043" w14:textId="77777777" w:rsidR="00905A97" w:rsidRDefault="00905A97" w:rsidP="00E8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C0A7" w14:textId="77777777" w:rsidR="00E839EC" w:rsidRDefault="007A52EF" w:rsidP="00E839EC">
    <w:pPr>
      <w:pStyle w:val="Piedepgina"/>
      <w:rPr>
        <w:noProof/>
        <w:color w:val="006666"/>
      </w:rPr>
    </w:pPr>
    <w:r>
      <w:rPr>
        <w:noProof/>
        <w:color w:val="006666"/>
      </w:rPr>
      <mc:AlternateContent>
        <mc:Choice Requires="wps">
          <w:drawing>
            <wp:anchor distT="0" distB="0" distL="114300" distR="114300" simplePos="0" relativeHeight="251663360" behindDoc="0" locked="0" layoutInCell="1" allowOverlap="1" wp14:anchorId="323172C3" wp14:editId="2E0C5E42">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7C5A5734" id="3 Conector recto"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276C7533" w14:textId="77777777" w:rsidR="00E839EC" w:rsidRDefault="007A52EF" w:rsidP="00E839EC">
    <w:pPr>
      <w:pStyle w:val="Piedepgina"/>
      <w:jc w:val="center"/>
      <w:rPr>
        <w:noProof/>
        <w:color w:val="006666"/>
      </w:rPr>
    </w:pPr>
    <w:r>
      <w:rPr>
        <w:noProof/>
        <w:color w:val="006666"/>
      </w:rPr>
      <mc:AlternateContent>
        <mc:Choice Requires="wps">
          <w:drawing>
            <wp:anchor distT="0" distB="0" distL="114300" distR="114300" simplePos="0" relativeHeight="251662336" behindDoc="0" locked="0" layoutInCell="1" allowOverlap="1" wp14:anchorId="2B88E564" wp14:editId="3DD4F7E2">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66CEE238" id="72 Conector recto"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06D8F7A7" w14:textId="77777777" w:rsidR="00E839EC" w:rsidRDefault="00E839EC" w:rsidP="00E839EC">
    <w:pPr>
      <w:pStyle w:val="Piedepgina"/>
      <w:jc w:val="center"/>
      <w:rPr>
        <w:noProof/>
        <w:color w:val="006666"/>
      </w:rPr>
    </w:pPr>
  </w:p>
  <w:p w14:paraId="4CA17824" w14:textId="77777777" w:rsidR="00E839EC" w:rsidRDefault="00E839EC" w:rsidP="00E839EC">
    <w:pPr>
      <w:pStyle w:val="Piedepgina"/>
      <w:jc w:val="center"/>
      <w:rPr>
        <w:rFonts w:ascii="Calibri" w:eastAsia="Calibri" w:hAnsi="Calibri" w:cs="Times New Roman"/>
        <w:b/>
        <w:sz w:val="16"/>
        <w:szCs w:val="16"/>
      </w:rPr>
    </w:pPr>
    <w:r>
      <w:rPr>
        <w:rFonts w:ascii="Calibri" w:eastAsia="Calibri" w:hAnsi="Calibri" w:cs="Times New Roman"/>
        <w:b/>
        <w:sz w:val="16"/>
        <w:szCs w:val="16"/>
      </w:rPr>
      <w:t>Calle Federico Velázquez No.1, María Auxiliadora, Santo Domingo, D.N., Rep. Dom. Tel. 809-681-0080/Fax. 809-845-4765</w:t>
    </w:r>
  </w:p>
  <w:p w14:paraId="698AD8F0" w14:textId="77777777" w:rsidR="00E839EC" w:rsidRPr="0023567C" w:rsidRDefault="00E839EC" w:rsidP="00E839EC">
    <w:pPr>
      <w:pStyle w:val="Piedepgina"/>
      <w:jc w:val="center"/>
      <w:rPr>
        <w:b/>
        <w:sz w:val="16"/>
        <w:szCs w:val="16"/>
      </w:rPr>
    </w:pPr>
    <w:r>
      <w:rPr>
        <w:rFonts w:ascii="Calibri" w:eastAsia="Calibri" w:hAnsi="Calibri" w:cs="Times New Roman"/>
        <w:b/>
        <w:sz w:val="16"/>
        <w:szCs w:val="16"/>
      </w:rPr>
      <w:t>Website: WWWW.Cecanot.com.do/ E-Mail: dirección@cecanot.com.do</w:t>
    </w:r>
  </w:p>
  <w:p w14:paraId="0EB1638E" w14:textId="77777777" w:rsidR="00E839EC" w:rsidRDefault="00E83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3DDAA" w14:textId="77777777" w:rsidR="00905A97" w:rsidRDefault="00905A97" w:rsidP="00E839EC">
      <w:pPr>
        <w:spacing w:after="0" w:line="240" w:lineRule="auto"/>
      </w:pPr>
      <w:r>
        <w:separator/>
      </w:r>
    </w:p>
  </w:footnote>
  <w:footnote w:type="continuationSeparator" w:id="0">
    <w:p w14:paraId="3B1577E0" w14:textId="77777777" w:rsidR="00905A97" w:rsidRDefault="00905A97" w:rsidP="00E8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FBCA7" w14:textId="77777777" w:rsidR="00E839EC" w:rsidRDefault="00E839EC" w:rsidP="00E839EC">
    <w:pPr>
      <w:pStyle w:val="Encabezado"/>
      <w:tabs>
        <w:tab w:val="left" w:pos="825"/>
      </w:tabs>
    </w:pPr>
    <w:r>
      <w:rPr>
        <w:noProof/>
        <w:lang w:eastAsia="es-DO"/>
      </w:rPr>
      <w:drawing>
        <wp:anchor distT="0" distB="0" distL="114300" distR="114300" simplePos="0" relativeHeight="251659264" behindDoc="1" locked="0" layoutInCell="1" allowOverlap="1" wp14:anchorId="34FD0884" wp14:editId="6A3C8F09">
          <wp:simplePos x="0" y="0"/>
          <wp:positionH relativeFrom="column">
            <wp:posOffset>-1118235</wp:posOffset>
          </wp:positionH>
          <wp:positionV relativeFrom="paragraph">
            <wp:posOffset>-449580</wp:posOffset>
          </wp:positionV>
          <wp:extent cx="3857625" cy="1447800"/>
          <wp:effectExtent l="19050" t="0" r="0" b="0"/>
          <wp:wrapThrough wrapText="bothSides">
            <wp:wrapPolygon edited="0">
              <wp:start x="-107" y="0"/>
              <wp:lineTo x="-107" y="20463"/>
              <wp:lineTo x="213" y="20463"/>
              <wp:lineTo x="640" y="20463"/>
              <wp:lineTo x="5867" y="18474"/>
              <wp:lineTo x="5867" y="18189"/>
              <wp:lineTo x="6400" y="18189"/>
              <wp:lineTo x="8000" y="14779"/>
              <wp:lineTo x="8000" y="13642"/>
              <wp:lineTo x="21120" y="13358"/>
              <wp:lineTo x="21440" y="10232"/>
              <wp:lineTo x="17067" y="7674"/>
              <wp:lineTo x="12053" y="4547"/>
              <wp:lineTo x="12160" y="4547"/>
              <wp:lineTo x="18773" y="0"/>
              <wp:lineTo x="-107"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1">
                    <a:extLst>
                      <a:ext uri="{28A0092B-C50C-407E-A947-70E740481C1C}">
                        <a14:useLocalDpi xmlns:a14="http://schemas.microsoft.com/office/drawing/2010/main" val="0"/>
                      </a:ext>
                    </a:extLst>
                  </a:blip>
                  <a:srcRect r="44281" b="83838"/>
                  <a:stretch/>
                </pic:blipFill>
                <pic:spPr bwMode="auto">
                  <a:xfrm>
                    <a:off x="0" y="0"/>
                    <a:ext cx="3857625" cy="144780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eastAsia="es-DO"/>
      </w:rPr>
      <w:drawing>
        <wp:anchor distT="0" distB="0" distL="114300" distR="114300" simplePos="0" relativeHeight="251660288" behindDoc="0" locked="0" layoutInCell="1" allowOverlap="1" wp14:anchorId="3048395E" wp14:editId="5DCD909B">
          <wp:simplePos x="0" y="0"/>
          <wp:positionH relativeFrom="column">
            <wp:posOffset>5334000</wp:posOffset>
          </wp:positionH>
          <wp:positionV relativeFrom="paragraph">
            <wp:posOffset>-314325</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tab/>
    </w:r>
  </w:p>
  <w:p w14:paraId="40F53DF7" w14:textId="77777777" w:rsidR="00E839EC" w:rsidRDefault="00E839EC" w:rsidP="00E839EC">
    <w:pPr>
      <w:pStyle w:val="Encabezado"/>
    </w:pPr>
  </w:p>
  <w:p w14:paraId="1B570AC5" w14:textId="77777777" w:rsidR="00E839EC" w:rsidRPr="0023567C" w:rsidRDefault="00E839EC" w:rsidP="00E839EC">
    <w:pPr>
      <w:pStyle w:val="Encabezado"/>
    </w:pPr>
    <w:r w:rsidRPr="0023567C">
      <w:t xml:space="preserve">                                                  </w:t>
    </w:r>
  </w:p>
  <w:p w14:paraId="7544D977" w14:textId="77777777" w:rsidR="00E839EC" w:rsidRDefault="00E839EC" w:rsidP="00E839EC">
    <w:pPr>
      <w:pStyle w:val="msonospacing0"/>
      <w:jc w:val="center"/>
      <w:rPr>
        <w:color w:val="008000"/>
        <w:lang w:val="es-DO"/>
      </w:rPr>
    </w:pPr>
    <w:r w:rsidRPr="0023567C">
      <w:rPr>
        <w:color w:val="008000"/>
        <w:lang w:val="es-DO"/>
      </w:rPr>
      <w:t>Centro Cardio-Neuro Oftalmológico y Trasplante</w:t>
    </w:r>
  </w:p>
  <w:p w14:paraId="6D57A962" w14:textId="77777777" w:rsidR="00E839EC" w:rsidRPr="0023567C" w:rsidRDefault="00E839EC" w:rsidP="00E839EC">
    <w:pPr>
      <w:pStyle w:val="msonospacing0"/>
      <w:ind w:left="2832"/>
      <w:rPr>
        <w:lang w:val="es-DO"/>
      </w:rPr>
    </w:pPr>
    <w:r w:rsidRPr="0023567C">
      <w:rPr>
        <w:lang w:val="es-DO"/>
      </w:rPr>
      <w:t>Ciudad Sanitaria Dr. Luís E. Aybar</w:t>
    </w:r>
  </w:p>
  <w:p w14:paraId="5709F7E1" w14:textId="77777777" w:rsidR="00E839EC" w:rsidRPr="0023567C" w:rsidRDefault="00E839EC" w:rsidP="00E839EC">
    <w:pPr>
      <w:pStyle w:val="msonospacing0"/>
      <w:rPr>
        <w:lang w:val="es-DO"/>
      </w:rPr>
    </w:pPr>
    <w:r>
      <w:rPr>
        <w:lang w:val="es-DO"/>
      </w:rPr>
      <w:t xml:space="preserve">                                                                         </w:t>
    </w:r>
    <w:r w:rsidRPr="0023567C">
      <w:rPr>
        <w:lang w:val="es-DO"/>
      </w:rPr>
      <w:t>RNC  4-3006345-2</w:t>
    </w:r>
  </w:p>
  <w:p w14:paraId="34776681" w14:textId="77777777" w:rsidR="00E839EC" w:rsidRPr="0023567C" w:rsidRDefault="00E839EC" w:rsidP="00E839EC">
    <w:pPr>
      <w:pStyle w:val="Encabezado"/>
      <w:jc w:val="center"/>
      <w:rPr>
        <w:rFonts w:ascii="Calibri" w:eastAsia="Calibri" w:hAnsi="Calibri" w:cs="Times New Roman"/>
        <w:b/>
      </w:rPr>
    </w:pPr>
    <w:r w:rsidRPr="0023567C">
      <w:rPr>
        <w:rFonts w:ascii="Calibri" w:eastAsia="Calibri" w:hAnsi="Calibri" w:cs="Times New Roman"/>
        <w:b/>
      </w:rPr>
      <w:t>“Año de</w:t>
    </w:r>
    <w:r>
      <w:rPr>
        <w:rFonts w:ascii="Calibri" w:eastAsia="Calibri" w:hAnsi="Calibri" w:cs="Times New Roman"/>
        <w:b/>
      </w:rPr>
      <w:t xml:space="preserve"> </w:t>
    </w:r>
    <w:r w:rsidR="00C12D00" w:rsidRPr="0023567C">
      <w:rPr>
        <w:rFonts w:ascii="Calibri" w:eastAsia="Calibri" w:hAnsi="Calibri" w:cs="Times New Roman"/>
        <w:b/>
      </w:rPr>
      <w:t>l</w:t>
    </w:r>
    <w:r w:rsidR="00C12D00">
      <w:rPr>
        <w:rFonts w:ascii="Calibri" w:eastAsia="Calibri" w:hAnsi="Calibri" w:cs="Times New Roman"/>
        <w:b/>
      </w:rPr>
      <w:t>a</w:t>
    </w:r>
    <w:r w:rsidR="002B60F6">
      <w:rPr>
        <w:rFonts w:ascii="Calibri" w:eastAsia="Calibri" w:hAnsi="Calibri" w:cs="Times New Roman"/>
        <w:b/>
      </w:rPr>
      <w:t xml:space="preserve"> consolidación de la seguridad alimentaria</w:t>
    </w:r>
    <w:r w:rsidRPr="0023567C">
      <w:rPr>
        <w:rFonts w:ascii="Calibri" w:eastAsia="Calibri" w:hAnsi="Calibri" w:cs="Times New Roman"/>
        <w:b/>
      </w:rPr>
      <w:t>”</w:t>
    </w:r>
  </w:p>
  <w:p w14:paraId="63A42EB0" w14:textId="77777777" w:rsidR="00E839EC" w:rsidRDefault="00E839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F42DD"/>
    <w:multiLevelType w:val="hybridMultilevel"/>
    <w:tmpl w:val="C7442238"/>
    <w:lvl w:ilvl="0" w:tplc="1C0A0001">
      <w:start w:val="1"/>
      <w:numFmt w:val="bullet"/>
      <w:lvlText w:val=""/>
      <w:lvlJc w:val="left"/>
      <w:pPr>
        <w:ind w:left="1080" w:hanging="360"/>
      </w:pPr>
      <w:rPr>
        <w:rFonts w:ascii="Symbol" w:hAnsi="Symbol"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1" w15:restartNumberingAfterBreak="0">
    <w:nsid w:val="29C518AD"/>
    <w:multiLevelType w:val="hybridMultilevel"/>
    <w:tmpl w:val="92CC3FD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339D46BB"/>
    <w:multiLevelType w:val="hybridMultilevel"/>
    <w:tmpl w:val="148ED144"/>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386B125B"/>
    <w:multiLevelType w:val="hybridMultilevel"/>
    <w:tmpl w:val="AE2434C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52DA428F"/>
    <w:multiLevelType w:val="hybridMultilevel"/>
    <w:tmpl w:val="39E0AC8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EC"/>
    <w:rsid w:val="00006494"/>
    <w:rsid w:val="00012280"/>
    <w:rsid w:val="000345AF"/>
    <w:rsid w:val="00036605"/>
    <w:rsid w:val="00047B63"/>
    <w:rsid w:val="00055054"/>
    <w:rsid w:val="00060429"/>
    <w:rsid w:val="000721BF"/>
    <w:rsid w:val="00084EB1"/>
    <w:rsid w:val="00092DAA"/>
    <w:rsid w:val="00096F4C"/>
    <w:rsid w:val="000A5F32"/>
    <w:rsid w:val="000B2965"/>
    <w:rsid w:val="000E2DCD"/>
    <w:rsid w:val="000E4602"/>
    <w:rsid w:val="000F1FAE"/>
    <w:rsid w:val="00111E18"/>
    <w:rsid w:val="0011312E"/>
    <w:rsid w:val="00122E83"/>
    <w:rsid w:val="001501BA"/>
    <w:rsid w:val="001510A6"/>
    <w:rsid w:val="0015331B"/>
    <w:rsid w:val="00157CAE"/>
    <w:rsid w:val="00173E0B"/>
    <w:rsid w:val="0017567F"/>
    <w:rsid w:val="00191BAE"/>
    <w:rsid w:val="00193941"/>
    <w:rsid w:val="001A2B1F"/>
    <w:rsid w:val="001B0C56"/>
    <w:rsid w:val="001B3ACD"/>
    <w:rsid w:val="001F6481"/>
    <w:rsid w:val="00242EA4"/>
    <w:rsid w:val="00260922"/>
    <w:rsid w:val="00263248"/>
    <w:rsid w:val="00271232"/>
    <w:rsid w:val="002724C4"/>
    <w:rsid w:val="00296EBA"/>
    <w:rsid w:val="002A1EE8"/>
    <w:rsid w:val="002B3AE8"/>
    <w:rsid w:val="002B60F6"/>
    <w:rsid w:val="002C2A94"/>
    <w:rsid w:val="002C51EF"/>
    <w:rsid w:val="002D303D"/>
    <w:rsid w:val="00303955"/>
    <w:rsid w:val="00306C46"/>
    <w:rsid w:val="003307B4"/>
    <w:rsid w:val="003621E9"/>
    <w:rsid w:val="00366E9E"/>
    <w:rsid w:val="00375BE6"/>
    <w:rsid w:val="003844FF"/>
    <w:rsid w:val="0038638F"/>
    <w:rsid w:val="003A0B4E"/>
    <w:rsid w:val="003A61CA"/>
    <w:rsid w:val="003D039E"/>
    <w:rsid w:val="003D691B"/>
    <w:rsid w:val="003E4F7A"/>
    <w:rsid w:val="00426ECC"/>
    <w:rsid w:val="00440880"/>
    <w:rsid w:val="0044469A"/>
    <w:rsid w:val="00447532"/>
    <w:rsid w:val="00456592"/>
    <w:rsid w:val="0047071A"/>
    <w:rsid w:val="004710AD"/>
    <w:rsid w:val="004866EA"/>
    <w:rsid w:val="004C003D"/>
    <w:rsid w:val="004D3F1B"/>
    <w:rsid w:val="004D7591"/>
    <w:rsid w:val="004F21AC"/>
    <w:rsid w:val="00500D3C"/>
    <w:rsid w:val="005064C4"/>
    <w:rsid w:val="00511E0E"/>
    <w:rsid w:val="005145F0"/>
    <w:rsid w:val="00524679"/>
    <w:rsid w:val="00524E62"/>
    <w:rsid w:val="00541A8D"/>
    <w:rsid w:val="00542F34"/>
    <w:rsid w:val="00544827"/>
    <w:rsid w:val="0055610E"/>
    <w:rsid w:val="005756A0"/>
    <w:rsid w:val="00577D3D"/>
    <w:rsid w:val="00583CE8"/>
    <w:rsid w:val="0058619C"/>
    <w:rsid w:val="005975B1"/>
    <w:rsid w:val="005A472D"/>
    <w:rsid w:val="005D7193"/>
    <w:rsid w:val="005D7217"/>
    <w:rsid w:val="005E66D5"/>
    <w:rsid w:val="00614100"/>
    <w:rsid w:val="00615AD1"/>
    <w:rsid w:val="006308FB"/>
    <w:rsid w:val="00631297"/>
    <w:rsid w:val="00635836"/>
    <w:rsid w:val="00644153"/>
    <w:rsid w:val="006457ED"/>
    <w:rsid w:val="00662CCD"/>
    <w:rsid w:val="006D0A69"/>
    <w:rsid w:val="006F603B"/>
    <w:rsid w:val="00703148"/>
    <w:rsid w:val="00711239"/>
    <w:rsid w:val="00715199"/>
    <w:rsid w:val="00715DB8"/>
    <w:rsid w:val="00742FAB"/>
    <w:rsid w:val="00751731"/>
    <w:rsid w:val="00756863"/>
    <w:rsid w:val="0076227D"/>
    <w:rsid w:val="00786E81"/>
    <w:rsid w:val="00787AFB"/>
    <w:rsid w:val="00790AA9"/>
    <w:rsid w:val="007A52EF"/>
    <w:rsid w:val="007C0FF3"/>
    <w:rsid w:val="007C16C7"/>
    <w:rsid w:val="007D22AD"/>
    <w:rsid w:val="007E508A"/>
    <w:rsid w:val="007F2104"/>
    <w:rsid w:val="00823AAB"/>
    <w:rsid w:val="00866FE3"/>
    <w:rsid w:val="00876FED"/>
    <w:rsid w:val="008805E7"/>
    <w:rsid w:val="0088776B"/>
    <w:rsid w:val="008941DC"/>
    <w:rsid w:val="008A6518"/>
    <w:rsid w:val="008C2660"/>
    <w:rsid w:val="008D46C3"/>
    <w:rsid w:val="008E3000"/>
    <w:rsid w:val="008E3620"/>
    <w:rsid w:val="008F3340"/>
    <w:rsid w:val="008F50D2"/>
    <w:rsid w:val="008F5D87"/>
    <w:rsid w:val="009040FD"/>
    <w:rsid w:val="00905A97"/>
    <w:rsid w:val="0091170A"/>
    <w:rsid w:val="00941FEB"/>
    <w:rsid w:val="0095544B"/>
    <w:rsid w:val="00957F78"/>
    <w:rsid w:val="00981ECC"/>
    <w:rsid w:val="009C161E"/>
    <w:rsid w:val="009D16F4"/>
    <w:rsid w:val="009F6736"/>
    <w:rsid w:val="009F736D"/>
    <w:rsid w:val="00A1162A"/>
    <w:rsid w:val="00A15532"/>
    <w:rsid w:val="00A237EE"/>
    <w:rsid w:val="00A41FBD"/>
    <w:rsid w:val="00A55F5D"/>
    <w:rsid w:val="00A56C60"/>
    <w:rsid w:val="00A6143B"/>
    <w:rsid w:val="00A61462"/>
    <w:rsid w:val="00A64BBC"/>
    <w:rsid w:val="00A70BB7"/>
    <w:rsid w:val="00A751EE"/>
    <w:rsid w:val="00AA1D43"/>
    <w:rsid w:val="00AA2D52"/>
    <w:rsid w:val="00AA4536"/>
    <w:rsid w:val="00AB27E1"/>
    <w:rsid w:val="00AB4784"/>
    <w:rsid w:val="00AB7354"/>
    <w:rsid w:val="00AB774C"/>
    <w:rsid w:val="00AC34F9"/>
    <w:rsid w:val="00AD0C70"/>
    <w:rsid w:val="00AD1F1B"/>
    <w:rsid w:val="00B22A5B"/>
    <w:rsid w:val="00B24A80"/>
    <w:rsid w:val="00B428BC"/>
    <w:rsid w:val="00B4338E"/>
    <w:rsid w:val="00B53F32"/>
    <w:rsid w:val="00B60B5C"/>
    <w:rsid w:val="00B633E9"/>
    <w:rsid w:val="00B72312"/>
    <w:rsid w:val="00B72C6F"/>
    <w:rsid w:val="00B83962"/>
    <w:rsid w:val="00B87732"/>
    <w:rsid w:val="00B92137"/>
    <w:rsid w:val="00BA53D3"/>
    <w:rsid w:val="00BA6435"/>
    <w:rsid w:val="00BB0B43"/>
    <w:rsid w:val="00BB6F28"/>
    <w:rsid w:val="00BB6F29"/>
    <w:rsid w:val="00BD6F1E"/>
    <w:rsid w:val="00BE6AE8"/>
    <w:rsid w:val="00C12D00"/>
    <w:rsid w:val="00C13F1D"/>
    <w:rsid w:val="00C2138C"/>
    <w:rsid w:val="00C22878"/>
    <w:rsid w:val="00C43F87"/>
    <w:rsid w:val="00C46B55"/>
    <w:rsid w:val="00C47E2F"/>
    <w:rsid w:val="00C504AA"/>
    <w:rsid w:val="00C56FFA"/>
    <w:rsid w:val="00C773E4"/>
    <w:rsid w:val="00C82055"/>
    <w:rsid w:val="00C87285"/>
    <w:rsid w:val="00C94C6F"/>
    <w:rsid w:val="00C97EBD"/>
    <w:rsid w:val="00CC184F"/>
    <w:rsid w:val="00CC2DAF"/>
    <w:rsid w:val="00CD3E8E"/>
    <w:rsid w:val="00CD5701"/>
    <w:rsid w:val="00CD7929"/>
    <w:rsid w:val="00CE5A6D"/>
    <w:rsid w:val="00CF6DD1"/>
    <w:rsid w:val="00D03C6E"/>
    <w:rsid w:val="00D1544F"/>
    <w:rsid w:val="00D2235E"/>
    <w:rsid w:val="00D23D21"/>
    <w:rsid w:val="00D25D90"/>
    <w:rsid w:val="00D34C29"/>
    <w:rsid w:val="00D712E3"/>
    <w:rsid w:val="00D732CF"/>
    <w:rsid w:val="00D82F80"/>
    <w:rsid w:val="00D8558E"/>
    <w:rsid w:val="00D85759"/>
    <w:rsid w:val="00DA02B2"/>
    <w:rsid w:val="00DE6850"/>
    <w:rsid w:val="00DE7679"/>
    <w:rsid w:val="00E10895"/>
    <w:rsid w:val="00E279FE"/>
    <w:rsid w:val="00E30E0C"/>
    <w:rsid w:val="00E31679"/>
    <w:rsid w:val="00E509EA"/>
    <w:rsid w:val="00E52797"/>
    <w:rsid w:val="00E54498"/>
    <w:rsid w:val="00E81682"/>
    <w:rsid w:val="00E82CBA"/>
    <w:rsid w:val="00E839EC"/>
    <w:rsid w:val="00EC24A4"/>
    <w:rsid w:val="00ED10D7"/>
    <w:rsid w:val="00EE2E3D"/>
    <w:rsid w:val="00EF37FC"/>
    <w:rsid w:val="00EF7186"/>
    <w:rsid w:val="00F315F3"/>
    <w:rsid w:val="00F3633E"/>
    <w:rsid w:val="00F56F7D"/>
    <w:rsid w:val="00F614CC"/>
    <w:rsid w:val="00F756C3"/>
    <w:rsid w:val="00FB2CCD"/>
    <w:rsid w:val="00FB7D81"/>
    <w:rsid w:val="00FE32AA"/>
    <w:rsid w:val="00FE6237"/>
    <w:rsid w:val="00FE7C75"/>
    <w:rsid w:val="00FF2E86"/>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85A8AF0"/>
  <w15:docId w15:val="{F6CB8788-C9E4-49A6-8A41-AB45CBA8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61E"/>
  </w:style>
  <w:style w:type="paragraph" w:styleId="Ttulo1">
    <w:name w:val="heading 1"/>
    <w:basedOn w:val="Normal"/>
    <w:next w:val="Normal"/>
    <w:link w:val="Ttulo1Car"/>
    <w:uiPriority w:val="9"/>
    <w:qFormat/>
    <w:rsid w:val="00AA45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AA45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B735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9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9EC"/>
  </w:style>
  <w:style w:type="paragraph" w:styleId="Piedepgina">
    <w:name w:val="footer"/>
    <w:basedOn w:val="Normal"/>
    <w:link w:val="PiedepginaCar"/>
    <w:uiPriority w:val="99"/>
    <w:unhideWhenUsed/>
    <w:rsid w:val="00E839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9EC"/>
  </w:style>
  <w:style w:type="paragraph" w:customStyle="1" w:styleId="msonospacing0">
    <w:name w:val="msonospacing"/>
    <w:rsid w:val="00E839EC"/>
    <w:pPr>
      <w:spacing w:after="0" w:line="240" w:lineRule="auto"/>
    </w:pPr>
    <w:rPr>
      <w:rFonts w:ascii="Calibri" w:eastAsia="Calibri" w:hAnsi="Calibri" w:cs="Times New Roman"/>
      <w:lang w:val="es-ES"/>
    </w:rPr>
  </w:style>
  <w:style w:type="table" w:styleId="Tablaconcuadrcula">
    <w:name w:val="Table Grid"/>
    <w:basedOn w:val="Tablanormal"/>
    <w:uiPriority w:val="59"/>
    <w:rsid w:val="00006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B0C56"/>
    <w:rPr>
      <w:sz w:val="16"/>
      <w:szCs w:val="16"/>
    </w:rPr>
  </w:style>
  <w:style w:type="paragraph" w:styleId="Textocomentario">
    <w:name w:val="annotation text"/>
    <w:basedOn w:val="Normal"/>
    <w:link w:val="TextocomentarioCar"/>
    <w:uiPriority w:val="99"/>
    <w:semiHidden/>
    <w:unhideWhenUsed/>
    <w:rsid w:val="001B0C5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0C56"/>
    <w:rPr>
      <w:sz w:val="20"/>
      <w:szCs w:val="20"/>
    </w:rPr>
  </w:style>
  <w:style w:type="paragraph" w:styleId="Asuntodelcomentario">
    <w:name w:val="annotation subject"/>
    <w:basedOn w:val="Textocomentario"/>
    <w:next w:val="Textocomentario"/>
    <w:link w:val="AsuntodelcomentarioCar"/>
    <w:uiPriority w:val="99"/>
    <w:semiHidden/>
    <w:unhideWhenUsed/>
    <w:rsid w:val="001B0C56"/>
    <w:rPr>
      <w:b/>
      <w:bCs/>
    </w:rPr>
  </w:style>
  <w:style w:type="character" w:customStyle="1" w:styleId="AsuntodelcomentarioCar">
    <w:name w:val="Asunto del comentario Car"/>
    <w:basedOn w:val="TextocomentarioCar"/>
    <w:link w:val="Asuntodelcomentario"/>
    <w:uiPriority w:val="99"/>
    <w:semiHidden/>
    <w:rsid w:val="001B0C56"/>
    <w:rPr>
      <w:b/>
      <w:bCs/>
      <w:sz w:val="20"/>
      <w:szCs w:val="20"/>
    </w:rPr>
  </w:style>
  <w:style w:type="paragraph" w:styleId="Textodeglobo">
    <w:name w:val="Balloon Text"/>
    <w:basedOn w:val="Normal"/>
    <w:link w:val="TextodegloboCar"/>
    <w:uiPriority w:val="99"/>
    <w:semiHidden/>
    <w:unhideWhenUsed/>
    <w:rsid w:val="001B0C5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0C56"/>
    <w:rPr>
      <w:rFonts w:ascii="Segoe UI" w:hAnsi="Segoe UI" w:cs="Segoe UI"/>
      <w:sz w:val="18"/>
      <w:szCs w:val="18"/>
    </w:rPr>
  </w:style>
  <w:style w:type="character" w:customStyle="1" w:styleId="vortalspan">
    <w:name w:val="vortalspan"/>
    <w:basedOn w:val="Fuentedeprrafopredeter"/>
    <w:rsid w:val="007C16C7"/>
  </w:style>
  <w:style w:type="character" w:styleId="Hipervnculo">
    <w:name w:val="Hyperlink"/>
    <w:basedOn w:val="Fuentedeprrafopredeter"/>
    <w:uiPriority w:val="99"/>
    <w:semiHidden/>
    <w:unhideWhenUsed/>
    <w:rsid w:val="00E54498"/>
    <w:rPr>
      <w:color w:val="0000FF"/>
      <w:u w:val="single"/>
    </w:rPr>
  </w:style>
  <w:style w:type="paragraph" w:styleId="Sinespaciado">
    <w:name w:val="No Spacing"/>
    <w:uiPriority w:val="1"/>
    <w:qFormat/>
    <w:rsid w:val="00AA4536"/>
    <w:pPr>
      <w:spacing w:after="0" w:line="240" w:lineRule="auto"/>
    </w:pPr>
  </w:style>
  <w:style w:type="character" w:customStyle="1" w:styleId="Ttulo1Car">
    <w:name w:val="Título 1 Car"/>
    <w:basedOn w:val="Fuentedeprrafopredeter"/>
    <w:link w:val="Ttulo1"/>
    <w:uiPriority w:val="9"/>
    <w:rsid w:val="00AA4536"/>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AA4536"/>
    <w:rPr>
      <w:rFonts w:asciiTheme="majorHAnsi" w:eastAsiaTheme="majorEastAsia" w:hAnsiTheme="majorHAnsi" w:cstheme="majorBidi"/>
      <w:color w:val="365F91" w:themeColor="accent1" w:themeShade="BF"/>
      <w:sz w:val="26"/>
      <w:szCs w:val="26"/>
    </w:rPr>
  </w:style>
  <w:style w:type="paragraph" w:styleId="Prrafodelista">
    <w:name w:val="List Paragraph"/>
    <w:basedOn w:val="Normal"/>
    <w:uiPriority w:val="34"/>
    <w:qFormat/>
    <w:rsid w:val="00644153"/>
    <w:pPr>
      <w:ind w:left="720"/>
      <w:contextualSpacing/>
    </w:pPr>
  </w:style>
  <w:style w:type="character" w:customStyle="1" w:styleId="Ttulo3Car">
    <w:name w:val="Título 3 Car"/>
    <w:basedOn w:val="Fuentedeprrafopredeter"/>
    <w:link w:val="Ttulo3"/>
    <w:uiPriority w:val="9"/>
    <w:semiHidden/>
    <w:rsid w:val="00AB7354"/>
    <w:rPr>
      <w:rFonts w:asciiTheme="majorHAnsi" w:eastAsiaTheme="majorEastAsia" w:hAnsiTheme="majorHAnsi" w:cstheme="majorBidi"/>
      <w:color w:val="243F60" w:themeColor="accent1" w:themeShade="7F"/>
      <w:sz w:val="24"/>
      <w:szCs w:val="24"/>
    </w:rPr>
  </w:style>
  <w:style w:type="paragraph" w:styleId="Textoindependiente">
    <w:name w:val="Body Text"/>
    <w:basedOn w:val="Normal"/>
    <w:link w:val="TextoindependienteCar"/>
    <w:unhideWhenUsed/>
    <w:rsid w:val="00AB7354"/>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AB7354"/>
    <w:rPr>
      <w:rFonts w:ascii="Times New Roman" w:eastAsia="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18095">
      <w:bodyDiv w:val="1"/>
      <w:marLeft w:val="0"/>
      <w:marRight w:val="0"/>
      <w:marTop w:val="0"/>
      <w:marBottom w:val="0"/>
      <w:divBdr>
        <w:top w:val="none" w:sz="0" w:space="0" w:color="auto"/>
        <w:left w:val="none" w:sz="0" w:space="0" w:color="auto"/>
        <w:bottom w:val="none" w:sz="0" w:space="0" w:color="auto"/>
        <w:right w:val="none" w:sz="0" w:space="0" w:color="auto"/>
      </w:divBdr>
      <w:divsChild>
        <w:div w:id="708338906">
          <w:marLeft w:val="0"/>
          <w:marRight w:val="0"/>
          <w:marTop w:val="0"/>
          <w:marBottom w:val="0"/>
          <w:divBdr>
            <w:top w:val="none" w:sz="0" w:space="0" w:color="auto"/>
            <w:left w:val="none" w:sz="0" w:space="0" w:color="auto"/>
            <w:bottom w:val="none" w:sz="0" w:space="0" w:color="auto"/>
            <w:right w:val="none" w:sz="0" w:space="0" w:color="auto"/>
          </w:divBdr>
        </w:div>
      </w:divsChild>
    </w:div>
    <w:div w:id="802382684">
      <w:bodyDiv w:val="1"/>
      <w:marLeft w:val="0"/>
      <w:marRight w:val="0"/>
      <w:marTop w:val="0"/>
      <w:marBottom w:val="0"/>
      <w:divBdr>
        <w:top w:val="none" w:sz="0" w:space="0" w:color="auto"/>
        <w:left w:val="none" w:sz="0" w:space="0" w:color="auto"/>
        <w:bottom w:val="none" w:sz="0" w:space="0" w:color="auto"/>
        <w:right w:val="none" w:sz="0" w:space="0" w:color="auto"/>
      </w:divBdr>
    </w:div>
    <w:div w:id="804808701">
      <w:bodyDiv w:val="1"/>
      <w:marLeft w:val="0"/>
      <w:marRight w:val="0"/>
      <w:marTop w:val="0"/>
      <w:marBottom w:val="0"/>
      <w:divBdr>
        <w:top w:val="none" w:sz="0" w:space="0" w:color="auto"/>
        <w:left w:val="none" w:sz="0" w:space="0" w:color="auto"/>
        <w:bottom w:val="none" w:sz="0" w:space="0" w:color="auto"/>
        <w:right w:val="none" w:sz="0" w:space="0" w:color="auto"/>
      </w:divBdr>
    </w:div>
    <w:div w:id="1318534999">
      <w:bodyDiv w:val="1"/>
      <w:marLeft w:val="0"/>
      <w:marRight w:val="0"/>
      <w:marTop w:val="0"/>
      <w:marBottom w:val="0"/>
      <w:divBdr>
        <w:top w:val="none" w:sz="0" w:space="0" w:color="auto"/>
        <w:left w:val="none" w:sz="0" w:space="0" w:color="auto"/>
        <w:bottom w:val="none" w:sz="0" w:space="0" w:color="auto"/>
        <w:right w:val="none" w:sz="0" w:space="0" w:color="auto"/>
      </w:divBdr>
    </w:div>
    <w:div w:id="1652753261">
      <w:bodyDiv w:val="1"/>
      <w:marLeft w:val="0"/>
      <w:marRight w:val="0"/>
      <w:marTop w:val="0"/>
      <w:marBottom w:val="0"/>
      <w:divBdr>
        <w:top w:val="none" w:sz="0" w:space="0" w:color="auto"/>
        <w:left w:val="none" w:sz="0" w:space="0" w:color="auto"/>
        <w:bottom w:val="none" w:sz="0" w:space="0" w:color="auto"/>
        <w:right w:val="none" w:sz="0" w:space="0" w:color="auto"/>
      </w:divBdr>
    </w:div>
    <w:div w:id="1780299465">
      <w:bodyDiv w:val="1"/>
      <w:marLeft w:val="0"/>
      <w:marRight w:val="0"/>
      <w:marTop w:val="0"/>
      <w:marBottom w:val="0"/>
      <w:divBdr>
        <w:top w:val="none" w:sz="0" w:space="0" w:color="auto"/>
        <w:left w:val="none" w:sz="0" w:space="0" w:color="auto"/>
        <w:bottom w:val="none" w:sz="0" w:space="0" w:color="auto"/>
        <w:right w:val="none" w:sz="0" w:space="0" w:color="auto"/>
      </w:divBdr>
    </w:div>
    <w:div w:id="1874881709">
      <w:bodyDiv w:val="1"/>
      <w:marLeft w:val="0"/>
      <w:marRight w:val="0"/>
      <w:marTop w:val="0"/>
      <w:marBottom w:val="0"/>
      <w:divBdr>
        <w:top w:val="none" w:sz="0" w:space="0" w:color="auto"/>
        <w:left w:val="none" w:sz="0" w:space="0" w:color="auto"/>
        <w:bottom w:val="none" w:sz="0" w:space="0" w:color="auto"/>
        <w:right w:val="none" w:sz="0" w:space="0" w:color="auto"/>
      </w:divBdr>
      <w:divsChild>
        <w:div w:id="1957364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pras@cecanot.com.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8507C-265C-4C74-8D85-8FDDAD94E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1218</Words>
  <Characters>6700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priscila.diaz</dc:creator>
  <cp:keywords/>
  <dc:description/>
  <cp:lastModifiedBy>Glennys Ceballos</cp:lastModifiedBy>
  <cp:revision>3</cp:revision>
  <cp:lastPrinted>2020-05-06T14:59:00Z</cp:lastPrinted>
  <dcterms:created xsi:type="dcterms:W3CDTF">2020-08-20T13:59:00Z</dcterms:created>
  <dcterms:modified xsi:type="dcterms:W3CDTF">2020-08-20T14:05:00Z</dcterms:modified>
</cp:coreProperties>
</file>